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C0FF" w14:textId="77777777" w:rsidR="00497B1D" w:rsidRPr="00E2096F" w:rsidRDefault="00497B1D" w:rsidP="00497B1D">
      <w:pPr>
        <w:jc w:val="center"/>
        <w:rPr>
          <w:b/>
          <w:u w:val="single"/>
        </w:rPr>
      </w:pPr>
      <w:r w:rsidRPr="00E2096F">
        <w:rPr>
          <w:b/>
          <w:u w:val="single"/>
        </w:rPr>
        <w:t>Catch up funding strategy</w:t>
      </w:r>
      <w:r w:rsidR="00641316" w:rsidRPr="00E2096F">
        <w:rPr>
          <w:b/>
          <w:u w:val="single"/>
        </w:rPr>
        <w:t xml:space="preserve">- Carrington Junior School </w:t>
      </w:r>
    </w:p>
    <w:p w14:paraId="3622B919" w14:textId="2462830E" w:rsidR="007373BC" w:rsidRDefault="007373BC" w:rsidP="00497B1D">
      <w:pPr>
        <w:jc w:val="center"/>
      </w:pPr>
      <w:r>
        <w:t xml:space="preserve">Available </w:t>
      </w:r>
      <w:proofErr w:type="gramStart"/>
      <w:r>
        <w:t>funding :</w:t>
      </w:r>
      <w:proofErr w:type="gramEnd"/>
      <w:r>
        <w:t xml:space="preserve"> £19,</w:t>
      </w:r>
      <w:r w:rsidR="00851152">
        <w:t>440</w:t>
      </w:r>
    </w:p>
    <w:p w14:paraId="2C334D77" w14:textId="7DEAB898" w:rsidR="00851152" w:rsidRPr="00851152" w:rsidRDefault="00851152" w:rsidP="00851152">
      <w:pPr>
        <w:pStyle w:val="NoSpacing"/>
        <w:rPr>
          <w:sz w:val="20"/>
          <w:szCs w:val="20"/>
        </w:rPr>
      </w:pPr>
      <w:r w:rsidRPr="00851152">
        <w:rPr>
          <w:sz w:val="20"/>
          <w:szCs w:val="20"/>
        </w:rPr>
        <w:t xml:space="preserve">Catch-up funding will be spent according to catch up needs </w:t>
      </w:r>
      <w:r w:rsidR="008240AE">
        <w:rPr>
          <w:sz w:val="20"/>
          <w:szCs w:val="20"/>
        </w:rPr>
        <w:t>identified within the school</w:t>
      </w:r>
      <w:bookmarkStart w:id="0" w:name="_GoBack"/>
      <w:bookmarkEnd w:id="0"/>
      <w:r w:rsidRPr="00851152">
        <w:rPr>
          <w:sz w:val="20"/>
          <w:szCs w:val="20"/>
        </w:rPr>
        <w:t xml:space="preserve"> and therefore will be kept under review  and considered alongside spending and activity for Pupil Premium, SEND and main school funding so that funding and support is delivered where there is the greatest need as the situation evolves.</w:t>
      </w:r>
    </w:p>
    <w:p w14:paraId="724A6C8D" w14:textId="77777777" w:rsidR="00851152" w:rsidRDefault="00851152" w:rsidP="00497B1D">
      <w:pPr>
        <w:jc w:val="center"/>
      </w:pPr>
    </w:p>
    <w:p w14:paraId="6D23D257" w14:textId="77777777" w:rsidR="00E2096F" w:rsidRPr="00E2096F" w:rsidRDefault="00E2096F" w:rsidP="00E2096F">
      <w:pPr>
        <w:pStyle w:val="NoSpacing"/>
        <w:rPr>
          <w:sz w:val="20"/>
          <w:szCs w:val="20"/>
        </w:rPr>
      </w:pPr>
      <w:r w:rsidRPr="00E2096F">
        <w:rPr>
          <w:sz w:val="20"/>
          <w:szCs w:val="20"/>
        </w:rPr>
        <w:t>The DfE has allocated £650 million to be spent on ensuring all pupils have the chance to catch up and supporting schools to enable them to do so. Whilst headteachers will decide how the money is spent, the Education Endowment Foundation has published</w:t>
      </w:r>
      <w:hyperlink r:id="rId7">
        <w:r w:rsidRPr="00E2096F">
          <w:rPr>
            <w:sz w:val="20"/>
            <w:szCs w:val="20"/>
          </w:rPr>
          <w:t xml:space="preserve"> </w:t>
        </w:r>
      </w:hyperlink>
      <w:hyperlink r:id="rId8">
        <w:r w:rsidRPr="00E2096F">
          <w:rPr>
            <w:color w:val="4C2C92"/>
            <w:sz w:val="20"/>
            <w:szCs w:val="20"/>
            <w:u w:val="single" w:color="4C2C92"/>
          </w:rPr>
          <w:t>guidance</w:t>
        </w:r>
      </w:hyperlink>
      <w:hyperlink r:id="rId9">
        <w:r w:rsidRPr="00E2096F">
          <w:rPr>
            <w:color w:val="4C2C92"/>
            <w:sz w:val="20"/>
            <w:szCs w:val="20"/>
            <w:u w:val="single" w:color="4C2C92"/>
          </w:rPr>
          <w:t xml:space="preserve"> </w:t>
        </w:r>
      </w:hyperlink>
      <w:hyperlink r:id="rId10">
        <w:r w:rsidRPr="00E2096F">
          <w:rPr>
            <w:color w:val="4C2C92"/>
            <w:sz w:val="20"/>
            <w:szCs w:val="20"/>
            <w:u w:val="single" w:color="4C2C92"/>
          </w:rPr>
          <w:t>on</w:t>
        </w:r>
      </w:hyperlink>
      <w:hyperlink r:id="rId11">
        <w:r w:rsidRPr="00E2096F">
          <w:rPr>
            <w:color w:val="4C2C92"/>
            <w:sz w:val="20"/>
            <w:szCs w:val="20"/>
            <w:u w:val="single" w:color="4C2C92"/>
          </w:rPr>
          <w:t xml:space="preserve"> </w:t>
        </w:r>
      </w:hyperlink>
      <w:hyperlink r:id="rId12">
        <w:r w:rsidRPr="00E2096F">
          <w:rPr>
            <w:color w:val="4C2C92"/>
            <w:sz w:val="20"/>
            <w:szCs w:val="20"/>
            <w:u w:val="single" w:color="4C2C92"/>
          </w:rPr>
          <w:t>effective</w:t>
        </w:r>
      </w:hyperlink>
      <w:hyperlink r:id="rId13">
        <w:r w:rsidRPr="00E2096F">
          <w:rPr>
            <w:color w:val="4C2C92"/>
            <w:sz w:val="20"/>
            <w:szCs w:val="20"/>
            <w:u w:val="single" w:color="4C2C92"/>
          </w:rPr>
          <w:t xml:space="preserve"> </w:t>
        </w:r>
      </w:hyperlink>
      <w:hyperlink r:id="rId14">
        <w:r w:rsidRPr="00E2096F">
          <w:rPr>
            <w:color w:val="4C2C92"/>
            <w:sz w:val="20"/>
            <w:szCs w:val="20"/>
            <w:u w:val="single" w:color="4C2C92"/>
          </w:rPr>
          <w:t>interventions</w:t>
        </w:r>
      </w:hyperlink>
      <w:hyperlink r:id="rId15">
        <w:r w:rsidRPr="00E2096F">
          <w:rPr>
            <w:color w:val="4C2C92"/>
            <w:sz w:val="20"/>
            <w:szCs w:val="20"/>
            <w:u w:val="single" w:color="4C2C92"/>
          </w:rPr>
          <w:t xml:space="preserve"> </w:t>
        </w:r>
      </w:hyperlink>
      <w:hyperlink r:id="rId16">
        <w:r w:rsidRPr="00E2096F">
          <w:rPr>
            <w:color w:val="4C2C92"/>
            <w:sz w:val="20"/>
            <w:szCs w:val="20"/>
            <w:u w:val="single" w:color="4C2C92"/>
          </w:rPr>
          <w:t>to</w:t>
        </w:r>
      </w:hyperlink>
      <w:hyperlink r:id="rId17">
        <w:r w:rsidRPr="00E2096F">
          <w:rPr>
            <w:color w:val="4C2C92"/>
            <w:sz w:val="20"/>
            <w:szCs w:val="20"/>
          </w:rPr>
          <w:t xml:space="preserve"> </w:t>
        </w:r>
      </w:hyperlink>
      <w:hyperlink r:id="rId18">
        <w:r w:rsidRPr="00E2096F">
          <w:rPr>
            <w:color w:val="4C2C92"/>
            <w:sz w:val="20"/>
            <w:szCs w:val="20"/>
            <w:u w:val="single" w:color="4C2C92"/>
          </w:rPr>
          <w:t>support</w:t>
        </w:r>
      </w:hyperlink>
      <w:hyperlink r:id="rId19">
        <w:r w:rsidRPr="00E2096F">
          <w:rPr>
            <w:color w:val="4C2C92"/>
            <w:sz w:val="20"/>
            <w:szCs w:val="20"/>
            <w:u w:val="single" w:color="4C2C92"/>
          </w:rPr>
          <w:t xml:space="preserve"> </w:t>
        </w:r>
      </w:hyperlink>
      <w:hyperlink r:id="rId20">
        <w:r w:rsidRPr="00E2096F">
          <w:rPr>
            <w:color w:val="4C2C92"/>
            <w:sz w:val="20"/>
            <w:szCs w:val="20"/>
            <w:u w:val="single" w:color="4C2C92"/>
          </w:rPr>
          <w:t>schools</w:t>
        </w:r>
      </w:hyperlink>
      <w:hyperlink r:id="rId21">
        <w:r w:rsidRPr="00E2096F">
          <w:rPr>
            <w:sz w:val="20"/>
            <w:szCs w:val="20"/>
          </w:rPr>
          <w:t>.</w:t>
        </w:r>
      </w:hyperlink>
      <w:r w:rsidRPr="00E2096F">
        <w:rPr>
          <w:sz w:val="20"/>
          <w:szCs w:val="20"/>
        </w:rPr>
        <w:t xml:space="preserve"> For pupils with complex needs, schools should spend this funding on catch-up support to address their individual needs. There is also an allocation of £350 million for </w:t>
      </w:r>
      <w:hyperlink r:id="rId22">
        <w:r w:rsidRPr="00E2096F">
          <w:rPr>
            <w:sz w:val="20"/>
            <w:szCs w:val="20"/>
          </w:rPr>
          <w:t>a</w:t>
        </w:r>
      </w:hyperlink>
      <w:hyperlink r:id="rId23">
        <w:r w:rsidRPr="00E2096F">
          <w:rPr>
            <w:sz w:val="20"/>
            <w:szCs w:val="20"/>
          </w:rPr>
          <w:t xml:space="preserve"> </w:t>
        </w:r>
      </w:hyperlink>
      <w:hyperlink r:id="rId24">
        <w:r w:rsidRPr="00E2096F">
          <w:rPr>
            <w:color w:val="4C2C92"/>
            <w:sz w:val="20"/>
            <w:szCs w:val="20"/>
            <w:u w:val="single" w:color="4C2C92"/>
          </w:rPr>
          <w:t>National</w:t>
        </w:r>
      </w:hyperlink>
      <w:hyperlink r:id="rId25">
        <w:r w:rsidRPr="00E2096F">
          <w:rPr>
            <w:color w:val="4C2C92"/>
            <w:sz w:val="20"/>
            <w:szCs w:val="20"/>
          </w:rPr>
          <w:t xml:space="preserve"> </w:t>
        </w:r>
      </w:hyperlink>
      <w:hyperlink r:id="rId26">
        <w:r w:rsidRPr="00E2096F">
          <w:rPr>
            <w:color w:val="4C2C92"/>
            <w:sz w:val="20"/>
            <w:szCs w:val="20"/>
            <w:u w:val="single" w:color="4C2C92"/>
          </w:rPr>
          <w:t>Tutoring</w:t>
        </w:r>
      </w:hyperlink>
      <w:hyperlink r:id="rId27">
        <w:r w:rsidRPr="00E2096F">
          <w:rPr>
            <w:color w:val="4C2C92"/>
            <w:sz w:val="20"/>
            <w:szCs w:val="20"/>
            <w:u w:val="single" w:color="4C2C92"/>
          </w:rPr>
          <w:t xml:space="preserve"> </w:t>
        </w:r>
      </w:hyperlink>
      <w:hyperlink r:id="rId28">
        <w:r w:rsidRPr="00E2096F">
          <w:rPr>
            <w:color w:val="4C2C92"/>
            <w:sz w:val="20"/>
            <w:szCs w:val="20"/>
            <w:u w:val="single" w:color="4C2C92"/>
          </w:rPr>
          <w:t>Programme</w:t>
        </w:r>
      </w:hyperlink>
      <w:hyperlink r:id="rId29">
        <w:r w:rsidRPr="00E2096F">
          <w:rPr>
            <w:sz w:val="20"/>
            <w:szCs w:val="20"/>
          </w:rPr>
          <w:t>,</w:t>
        </w:r>
      </w:hyperlink>
      <w:r w:rsidRPr="00E2096F">
        <w:rPr>
          <w:sz w:val="20"/>
          <w:szCs w:val="20"/>
        </w:rPr>
        <w:t xml:space="preserve"> intended to deliver proven and successful tuition to the most disadvantaged and vulnerable young people. </w:t>
      </w:r>
    </w:p>
    <w:p w14:paraId="12494F2A" w14:textId="77777777" w:rsidR="00E2096F" w:rsidRPr="00E2096F" w:rsidRDefault="00E2096F" w:rsidP="00E2096F">
      <w:pPr>
        <w:pStyle w:val="NoSpacing"/>
        <w:rPr>
          <w:sz w:val="20"/>
          <w:szCs w:val="20"/>
        </w:rPr>
      </w:pPr>
    </w:p>
    <w:p w14:paraId="216EC5F7" w14:textId="77777777" w:rsidR="00E2096F" w:rsidRPr="00E2096F" w:rsidRDefault="00E2096F" w:rsidP="00E2096F">
      <w:pPr>
        <w:pStyle w:val="NoSpacing"/>
        <w:rPr>
          <w:sz w:val="20"/>
          <w:szCs w:val="20"/>
        </w:rPr>
      </w:pPr>
      <w:r w:rsidRPr="00E2096F">
        <w:rPr>
          <w:sz w:val="20"/>
          <w:szCs w:val="20"/>
        </w:rPr>
        <w:t xml:space="preserve">The DfE has also set out the following </w:t>
      </w:r>
      <w:r w:rsidRPr="00E2096F">
        <w:rPr>
          <w:rFonts w:ascii="Calibri" w:eastAsia="Calibri" w:hAnsi="Calibri" w:cs="Calibri"/>
          <w:b/>
          <w:color w:val="002060"/>
          <w:sz w:val="20"/>
          <w:szCs w:val="20"/>
        </w:rPr>
        <w:t>Curriculum Expectations</w:t>
      </w:r>
      <w:r w:rsidRPr="00E2096F">
        <w:rPr>
          <w:sz w:val="20"/>
          <w:szCs w:val="20"/>
        </w:rPr>
        <w:t xml:space="preserve">, to ensure that all pupils </w:t>
      </w:r>
      <w:r w:rsidRPr="00E2096F">
        <w:rPr>
          <w:rFonts w:ascii="Calibri" w:eastAsia="Calibri" w:hAnsi="Calibri" w:cs="Calibri"/>
          <w:sz w:val="20"/>
          <w:szCs w:val="20"/>
        </w:rPr>
        <w:t>–</w:t>
      </w:r>
      <w:r w:rsidRPr="00E2096F">
        <w:rPr>
          <w:sz w:val="20"/>
          <w:szCs w:val="20"/>
        </w:rPr>
        <w:t xml:space="preserve"> particularly disadvantaged, SEND and vulnerable pupils </w:t>
      </w:r>
      <w:r w:rsidRPr="00E2096F">
        <w:rPr>
          <w:rFonts w:ascii="Calibri" w:eastAsia="Calibri" w:hAnsi="Calibri" w:cs="Calibri"/>
          <w:sz w:val="20"/>
          <w:szCs w:val="20"/>
        </w:rPr>
        <w:t>–</w:t>
      </w:r>
      <w:r w:rsidRPr="00E2096F">
        <w:rPr>
          <w:sz w:val="20"/>
          <w:szCs w:val="20"/>
        </w:rPr>
        <w:t xml:space="preserve"> are given the catch-up support needed to make substantial progress by the end of the academic year. </w:t>
      </w:r>
    </w:p>
    <w:p w14:paraId="31AD680D"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The curriculum remains broad and ambitious </w:t>
      </w:r>
    </w:p>
    <w:p w14:paraId="647D93F6" w14:textId="77777777" w:rsidR="00E2096F" w:rsidRPr="00E2096F" w:rsidRDefault="00E2096F" w:rsidP="00E2096F">
      <w:pPr>
        <w:pStyle w:val="NoSpacing"/>
        <w:rPr>
          <w:sz w:val="20"/>
          <w:szCs w:val="20"/>
        </w:rPr>
      </w:pPr>
      <w:r w:rsidRPr="00E2096F">
        <w:rPr>
          <w:sz w:val="20"/>
          <w:szCs w:val="20"/>
        </w:rPr>
        <w:t xml:space="preserve">All pupils continue to be taught a wide range of subjects, maintaining their choices for further study and employment. </w:t>
      </w:r>
    </w:p>
    <w:p w14:paraId="40A22B05"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 </w:t>
      </w:r>
    </w:p>
    <w:p w14:paraId="285932D0"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Remote education </w:t>
      </w:r>
    </w:p>
    <w:p w14:paraId="00FF20CB" w14:textId="77777777" w:rsidR="00E2096F" w:rsidRPr="00E2096F" w:rsidRDefault="00E2096F" w:rsidP="00E2096F">
      <w:pPr>
        <w:pStyle w:val="NoSpacing"/>
        <w:rPr>
          <w:sz w:val="20"/>
          <w:szCs w:val="20"/>
        </w:rPr>
      </w:pPr>
      <w:r w:rsidRPr="00E2096F">
        <w:rPr>
          <w:sz w:val="20"/>
          <w:szCs w:val="20"/>
        </w:rPr>
        <w:t xml:space="preserve">DfE asks that schools meet the following key expectations: </w:t>
      </w:r>
    </w:p>
    <w:p w14:paraId="5699CD4F" w14:textId="77777777" w:rsidR="00E2096F" w:rsidRPr="00E2096F" w:rsidRDefault="00E2096F" w:rsidP="00E2096F">
      <w:pPr>
        <w:pStyle w:val="NoSpacing"/>
        <w:rPr>
          <w:sz w:val="20"/>
          <w:szCs w:val="20"/>
        </w:rPr>
      </w:pPr>
      <w:r w:rsidRPr="00E2096F">
        <w:rPr>
          <w:sz w:val="20"/>
          <w:szCs w:val="20"/>
        </w:rPr>
        <w:t xml:space="preserve">Teach an ambitious and broad curriculum in all subjects from the start of the autumn term, but make use of existing flexibilities to create time to cover the most important missed </w:t>
      </w:r>
      <w:r w:rsidRPr="00E2096F">
        <w:rPr>
          <w:rFonts w:ascii="Calibri" w:eastAsia="Calibri" w:hAnsi="Calibri" w:cs="Calibri"/>
          <w:sz w:val="20"/>
          <w:szCs w:val="20"/>
        </w:rPr>
        <w:t>content…</w:t>
      </w:r>
      <w:r w:rsidRPr="00E2096F">
        <w:rPr>
          <w:sz w:val="20"/>
          <w:szCs w:val="20"/>
        </w:rPr>
        <w:t xml:space="preserve">In particular, schools may consider how all subjects can contribute to the filling of gaps in core knowledge, for example through an emphasis on reading. </w:t>
      </w:r>
    </w:p>
    <w:p w14:paraId="65662711" w14:textId="77777777" w:rsidR="00E2096F" w:rsidRDefault="00E2096F" w:rsidP="00E2096F">
      <w:pPr>
        <w:pStyle w:val="NoSpacing"/>
        <w:rPr>
          <w:rFonts w:ascii="Calibri" w:eastAsia="Calibri" w:hAnsi="Calibri" w:cs="Calibri"/>
          <w:sz w:val="20"/>
          <w:szCs w:val="20"/>
        </w:rPr>
      </w:pPr>
    </w:p>
    <w:p w14:paraId="1AF5948A" w14:textId="2D0B8E8B" w:rsidR="00E2096F" w:rsidRPr="00E2096F" w:rsidRDefault="00E2096F" w:rsidP="00E2096F">
      <w:pPr>
        <w:pStyle w:val="NoSpacing"/>
        <w:rPr>
          <w:sz w:val="20"/>
          <w:szCs w:val="20"/>
        </w:rPr>
      </w:pPr>
      <w:r w:rsidRPr="00E2096F">
        <w:rPr>
          <w:rFonts w:ascii="Calibri" w:eastAsia="Calibri" w:hAnsi="Calibri" w:cs="Calibri"/>
          <w:sz w:val="20"/>
          <w:szCs w:val="20"/>
        </w:rPr>
        <w:t xml:space="preserve">Aim to return to the school’s normal curriculum in all subjects </w:t>
      </w:r>
      <w:r w:rsidR="00851152">
        <w:rPr>
          <w:rFonts w:ascii="Calibri" w:eastAsia="Calibri" w:hAnsi="Calibri" w:cs="Calibri"/>
          <w:sz w:val="20"/>
          <w:szCs w:val="20"/>
        </w:rPr>
        <w:t xml:space="preserve">as soon as is practicable, in line with government guidance. </w:t>
      </w:r>
    </w:p>
    <w:p w14:paraId="5A50320C" w14:textId="77777777" w:rsidR="00E2096F" w:rsidRPr="00E2096F" w:rsidRDefault="00E2096F" w:rsidP="00E2096F">
      <w:pPr>
        <w:pStyle w:val="NoSpacing"/>
        <w:rPr>
          <w:sz w:val="20"/>
          <w:szCs w:val="20"/>
        </w:rPr>
      </w:pPr>
      <w:r w:rsidRPr="00E2096F">
        <w:rPr>
          <w:sz w:val="20"/>
          <w:szCs w:val="20"/>
        </w:rPr>
        <w:t xml:space="preserve">Plan on the basis of the educational needs of pupils. Curriculum planning should be informed </w:t>
      </w:r>
      <w:r w:rsidRPr="00E2096F">
        <w:rPr>
          <w:rFonts w:ascii="Calibri" w:eastAsia="Calibri" w:hAnsi="Calibri" w:cs="Calibri"/>
          <w:sz w:val="20"/>
          <w:szCs w:val="20"/>
        </w:rPr>
        <w:t xml:space="preserve">by an assessment of pupils’ starting points and addressing the gaps in their </w:t>
      </w:r>
      <w:r w:rsidRPr="00E2096F">
        <w:rPr>
          <w:sz w:val="20"/>
          <w:szCs w:val="20"/>
        </w:rPr>
        <w:t xml:space="preserve">knowledge and skills. </w:t>
      </w:r>
    </w:p>
    <w:p w14:paraId="519CCDE0" w14:textId="77777777" w:rsidR="00E2096F" w:rsidRPr="00E2096F" w:rsidRDefault="00E2096F" w:rsidP="00E2096F">
      <w:pPr>
        <w:pStyle w:val="NoSpacing"/>
        <w:rPr>
          <w:sz w:val="20"/>
          <w:szCs w:val="20"/>
        </w:rPr>
      </w:pPr>
      <w:r w:rsidRPr="00E2096F">
        <w:rPr>
          <w:sz w:val="20"/>
          <w:szCs w:val="20"/>
        </w:rPr>
        <w:t xml:space="preserve">Develop remote education so that it is integrated into school curriculum planning.  </w:t>
      </w:r>
    </w:p>
    <w:p w14:paraId="0792EA36" w14:textId="77777777" w:rsidR="00E2096F" w:rsidRPr="00E2096F" w:rsidRDefault="00E2096F" w:rsidP="00E2096F">
      <w:pPr>
        <w:pStyle w:val="NoSpacing"/>
        <w:rPr>
          <w:sz w:val="20"/>
          <w:szCs w:val="20"/>
        </w:rPr>
      </w:pPr>
      <w:r w:rsidRPr="00E2096F">
        <w:rPr>
          <w:sz w:val="20"/>
          <w:szCs w:val="20"/>
        </w:rPr>
        <w:t xml:space="preserve">Schools should set out how they will allocate the additional funding to support curriculum recovery this academic year. The EEF guidance suggests a 3-tiered* approach: </w:t>
      </w:r>
    </w:p>
    <w:p w14:paraId="2A2FD94F" w14:textId="77777777" w:rsidR="00E2096F" w:rsidRDefault="00E2096F" w:rsidP="00E2096F">
      <w:pPr>
        <w:pStyle w:val="NoSpacing"/>
        <w:rPr>
          <w:rFonts w:ascii="Calibri" w:eastAsia="Calibri" w:hAnsi="Calibri" w:cs="Calibri"/>
          <w:b/>
          <w:color w:val="002060"/>
          <w:sz w:val="20"/>
          <w:szCs w:val="20"/>
        </w:rPr>
      </w:pPr>
    </w:p>
    <w:p w14:paraId="08B06E50"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Teaching </w:t>
      </w:r>
    </w:p>
    <w:p w14:paraId="7384B8E5" w14:textId="77777777" w:rsidR="00E2096F" w:rsidRPr="00E2096F" w:rsidRDefault="00E2096F" w:rsidP="00E2096F">
      <w:pPr>
        <w:pStyle w:val="NoSpacing"/>
        <w:rPr>
          <w:sz w:val="20"/>
          <w:szCs w:val="20"/>
        </w:rPr>
      </w:pPr>
      <w:r w:rsidRPr="00E2096F">
        <w:rPr>
          <w:color w:val="000000"/>
          <w:sz w:val="20"/>
          <w:szCs w:val="20"/>
        </w:rPr>
        <w:t xml:space="preserve">High-quality teaching for all </w:t>
      </w:r>
    </w:p>
    <w:p w14:paraId="45B60E1F" w14:textId="77777777" w:rsidR="00E2096F" w:rsidRPr="00E2096F" w:rsidRDefault="00E2096F" w:rsidP="00E2096F">
      <w:pPr>
        <w:pStyle w:val="NoSpacing"/>
        <w:rPr>
          <w:sz w:val="20"/>
          <w:szCs w:val="20"/>
        </w:rPr>
      </w:pPr>
      <w:r w:rsidRPr="00E2096F">
        <w:rPr>
          <w:color w:val="000000"/>
          <w:sz w:val="20"/>
          <w:szCs w:val="20"/>
        </w:rPr>
        <w:t xml:space="preserve">Effective diagnostic assessment </w:t>
      </w:r>
    </w:p>
    <w:p w14:paraId="74488883" w14:textId="77777777" w:rsidR="00E2096F" w:rsidRPr="00E2096F" w:rsidRDefault="00E2096F" w:rsidP="00E2096F">
      <w:pPr>
        <w:pStyle w:val="NoSpacing"/>
        <w:rPr>
          <w:sz w:val="20"/>
          <w:szCs w:val="20"/>
        </w:rPr>
      </w:pPr>
      <w:r w:rsidRPr="00E2096F">
        <w:rPr>
          <w:color w:val="000000"/>
          <w:sz w:val="20"/>
          <w:szCs w:val="20"/>
        </w:rPr>
        <w:t xml:space="preserve">Supporting remote learning </w:t>
      </w:r>
    </w:p>
    <w:p w14:paraId="1DA9EDD9" w14:textId="77777777" w:rsidR="00E2096F" w:rsidRPr="00E2096F" w:rsidRDefault="00E2096F" w:rsidP="00E2096F">
      <w:pPr>
        <w:pStyle w:val="NoSpacing"/>
        <w:rPr>
          <w:sz w:val="20"/>
          <w:szCs w:val="20"/>
        </w:rPr>
      </w:pPr>
      <w:r w:rsidRPr="00E2096F">
        <w:rPr>
          <w:color w:val="000000"/>
          <w:sz w:val="20"/>
          <w:szCs w:val="20"/>
        </w:rPr>
        <w:t xml:space="preserve">Focusing on professional development </w:t>
      </w:r>
    </w:p>
    <w:p w14:paraId="1B1652CF" w14:textId="77777777" w:rsidR="00E2096F" w:rsidRPr="00E2096F" w:rsidRDefault="00E2096F" w:rsidP="00E2096F">
      <w:pPr>
        <w:pStyle w:val="NoSpacing"/>
        <w:rPr>
          <w:sz w:val="20"/>
          <w:szCs w:val="20"/>
        </w:rPr>
      </w:pPr>
      <w:r w:rsidRPr="00E2096F">
        <w:rPr>
          <w:color w:val="000000"/>
          <w:sz w:val="20"/>
          <w:szCs w:val="20"/>
        </w:rPr>
        <w:t xml:space="preserve"> </w:t>
      </w:r>
    </w:p>
    <w:p w14:paraId="427392C9"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Targeted academic support </w:t>
      </w:r>
    </w:p>
    <w:p w14:paraId="66D2FCB6" w14:textId="77777777" w:rsidR="00E2096F" w:rsidRPr="00E2096F" w:rsidRDefault="00E2096F" w:rsidP="00E2096F">
      <w:pPr>
        <w:pStyle w:val="NoSpacing"/>
        <w:rPr>
          <w:sz w:val="20"/>
          <w:szCs w:val="20"/>
        </w:rPr>
      </w:pPr>
      <w:r w:rsidRPr="00E2096F">
        <w:rPr>
          <w:color w:val="000000"/>
          <w:sz w:val="20"/>
          <w:szCs w:val="20"/>
        </w:rPr>
        <w:t xml:space="preserve">High-quality one to one and small group tuition </w:t>
      </w:r>
    </w:p>
    <w:p w14:paraId="4735CE33" w14:textId="77777777" w:rsidR="00E2096F" w:rsidRPr="00E2096F" w:rsidRDefault="00E2096F" w:rsidP="00E2096F">
      <w:pPr>
        <w:pStyle w:val="NoSpacing"/>
        <w:rPr>
          <w:sz w:val="20"/>
          <w:szCs w:val="20"/>
        </w:rPr>
      </w:pPr>
      <w:r w:rsidRPr="00E2096F">
        <w:rPr>
          <w:color w:val="000000"/>
          <w:sz w:val="20"/>
          <w:szCs w:val="20"/>
        </w:rPr>
        <w:t xml:space="preserve">Teaching Assistants and targeted support </w:t>
      </w:r>
    </w:p>
    <w:p w14:paraId="76344C92" w14:textId="77777777" w:rsidR="00E2096F" w:rsidRPr="00E2096F" w:rsidRDefault="00E2096F" w:rsidP="00E2096F">
      <w:pPr>
        <w:pStyle w:val="NoSpacing"/>
        <w:rPr>
          <w:sz w:val="20"/>
          <w:szCs w:val="20"/>
        </w:rPr>
      </w:pPr>
      <w:r w:rsidRPr="00E2096F">
        <w:rPr>
          <w:color w:val="000000"/>
          <w:sz w:val="20"/>
          <w:szCs w:val="20"/>
        </w:rPr>
        <w:t xml:space="preserve">Academic tutoring </w:t>
      </w:r>
    </w:p>
    <w:p w14:paraId="4F6A7945" w14:textId="77777777" w:rsidR="00E2096F" w:rsidRDefault="00E2096F" w:rsidP="00E2096F">
      <w:pPr>
        <w:pStyle w:val="NoSpacing"/>
        <w:rPr>
          <w:color w:val="000000"/>
          <w:sz w:val="20"/>
          <w:szCs w:val="20"/>
        </w:rPr>
      </w:pPr>
      <w:r w:rsidRPr="00E2096F">
        <w:rPr>
          <w:color w:val="000000"/>
          <w:sz w:val="20"/>
          <w:szCs w:val="20"/>
        </w:rPr>
        <w:t xml:space="preserve">Planning for pupils with Special Educational Needs and Disabilities (SEND)  </w:t>
      </w:r>
    </w:p>
    <w:p w14:paraId="42BB2C33" w14:textId="77777777" w:rsidR="00E2096F" w:rsidRPr="00E2096F" w:rsidRDefault="00E2096F" w:rsidP="00E2096F">
      <w:pPr>
        <w:pStyle w:val="NoSpacing"/>
        <w:rPr>
          <w:sz w:val="20"/>
          <w:szCs w:val="20"/>
        </w:rPr>
      </w:pPr>
    </w:p>
    <w:p w14:paraId="219B7C18" w14:textId="77777777" w:rsidR="00E2096F" w:rsidRPr="00E2096F" w:rsidRDefault="00E2096F" w:rsidP="00E2096F">
      <w:pPr>
        <w:pStyle w:val="NoSpacing"/>
        <w:rPr>
          <w:sz w:val="20"/>
          <w:szCs w:val="20"/>
        </w:rPr>
      </w:pPr>
      <w:r w:rsidRPr="00E2096F">
        <w:rPr>
          <w:rFonts w:ascii="Calibri" w:eastAsia="Calibri" w:hAnsi="Calibri" w:cs="Calibri"/>
          <w:b/>
          <w:color w:val="002060"/>
          <w:sz w:val="20"/>
          <w:szCs w:val="20"/>
        </w:rPr>
        <w:t xml:space="preserve">Wider strategies </w:t>
      </w:r>
    </w:p>
    <w:p w14:paraId="64F456D8" w14:textId="77777777" w:rsidR="00E2096F" w:rsidRPr="00E2096F" w:rsidRDefault="00E2096F" w:rsidP="00E2096F">
      <w:pPr>
        <w:pStyle w:val="NoSpacing"/>
        <w:rPr>
          <w:sz w:val="20"/>
          <w:szCs w:val="20"/>
        </w:rPr>
      </w:pPr>
      <w:r w:rsidRPr="00E2096F">
        <w:rPr>
          <w:rFonts w:ascii="Calibri" w:eastAsia="Calibri" w:hAnsi="Calibri" w:cs="Calibri"/>
          <w:color w:val="000000"/>
          <w:sz w:val="20"/>
          <w:szCs w:val="20"/>
        </w:rPr>
        <w:t>Supporting pupils’ social, em</w:t>
      </w:r>
      <w:r w:rsidRPr="00E2096F">
        <w:rPr>
          <w:color w:val="000000"/>
          <w:sz w:val="20"/>
          <w:szCs w:val="20"/>
        </w:rPr>
        <w:t xml:space="preserve">otional and behavioural needs </w:t>
      </w:r>
    </w:p>
    <w:p w14:paraId="0CB48A2B" w14:textId="77777777" w:rsidR="00E2096F" w:rsidRPr="00E2096F" w:rsidRDefault="00E2096F" w:rsidP="00E2096F">
      <w:pPr>
        <w:pStyle w:val="NoSpacing"/>
        <w:rPr>
          <w:sz w:val="20"/>
          <w:szCs w:val="20"/>
        </w:rPr>
      </w:pPr>
      <w:r w:rsidRPr="00E2096F">
        <w:rPr>
          <w:color w:val="000000"/>
          <w:sz w:val="20"/>
          <w:szCs w:val="20"/>
        </w:rPr>
        <w:t xml:space="preserve">Communicating with and supporting parents </w:t>
      </w:r>
    </w:p>
    <w:p w14:paraId="0525441B" w14:textId="77777777" w:rsidR="00E2096F" w:rsidRPr="00E2096F" w:rsidRDefault="00E2096F" w:rsidP="00E2096F">
      <w:pPr>
        <w:pStyle w:val="NoSpacing"/>
        <w:rPr>
          <w:sz w:val="20"/>
          <w:szCs w:val="20"/>
        </w:rPr>
      </w:pPr>
      <w:r w:rsidRPr="00E2096F">
        <w:rPr>
          <w:color w:val="000000"/>
          <w:sz w:val="20"/>
          <w:szCs w:val="20"/>
        </w:rPr>
        <w:t xml:space="preserve">Supporting parents with pupils of different ages </w:t>
      </w:r>
    </w:p>
    <w:p w14:paraId="01B260EE" w14:textId="77777777" w:rsidR="00E2096F" w:rsidRPr="00E2096F" w:rsidRDefault="00E2096F" w:rsidP="00E2096F">
      <w:pPr>
        <w:pStyle w:val="NoSpacing"/>
        <w:rPr>
          <w:sz w:val="20"/>
          <w:szCs w:val="20"/>
        </w:rPr>
      </w:pPr>
      <w:r w:rsidRPr="00E2096F">
        <w:rPr>
          <w:color w:val="000000"/>
          <w:sz w:val="20"/>
          <w:szCs w:val="20"/>
        </w:rPr>
        <w:t>Successful implementation in challenging times</w:t>
      </w:r>
      <w:r w:rsidRPr="00E2096F">
        <w:rPr>
          <w:sz w:val="20"/>
          <w:szCs w:val="20"/>
        </w:rPr>
        <w:t xml:space="preserve">  </w:t>
      </w:r>
    </w:p>
    <w:p w14:paraId="44B39D99" w14:textId="18B81B43" w:rsidR="00851152" w:rsidRDefault="00851152" w:rsidP="00A771CF">
      <w:pPr>
        <w:pStyle w:val="NoSpacing"/>
        <w:rPr>
          <w:i/>
          <w:sz w:val="20"/>
          <w:szCs w:val="20"/>
        </w:rPr>
      </w:pPr>
    </w:p>
    <w:p w14:paraId="69FAA730" w14:textId="77777777" w:rsidR="00851152" w:rsidRDefault="00851152" w:rsidP="00A771CF">
      <w:pPr>
        <w:pStyle w:val="NoSpacing"/>
        <w:rPr>
          <w:i/>
          <w:sz w:val="20"/>
          <w:szCs w:val="20"/>
        </w:rPr>
      </w:pPr>
    </w:p>
    <w:p w14:paraId="11DCD95B" w14:textId="77777777" w:rsidR="00EE3CCB" w:rsidRDefault="00EE3CCB" w:rsidP="00A771CF">
      <w:pPr>
        <w:pStyle w:val="NoSpacing"/>
      </w:pPr>
    </w:p>
    <w:p w14:paraId="608B2730" w14:textId="77777777" w:rsidR="00EE3CCB" w:rsidRDefault="00EE3CCB" w:rsidP="00A771CF">
      <w:pPr>
        <w:pStyle w:val="NoSpacing"/>
      </w:pPr>
    </w:p>
    <w:p w14:paraId="556B3FF1" w14:textId="77777777" w:rsidR="00EE3CCB" w:rsidRDefault="00EE3CCB" w:rsidP="00A771CF">
      <w:pPr>
        <w:pStyle w:val="NoSpacing"/>
      </w:pPr>
    </w:p>
    <w:p w14:paraId="0E80E2C9" w14:textId="77777777" w:rsidR="00EE3CCB" w:rsidRDefault="00EE3CCB" w:rsidP="00A771CF">
      <w:pPr>
        <w:pStyle w:val="NoSpacing"/>
      </w:pPr>
    </w:p>
    <w:p w14:paraId="0188F185" w14:textId="77777777" w:rsidR="00EE3CCB" w:rsidRDefault="00EE3CCB" w:rsidP="00A771CF">
      <w:pPr>
        <w:pStyle w:val="NoSpacing"/>
      </w:pPr>
    </w:p>
    <w:p w14:paraId="7DA62D24" w14:textId="77777777" w:rsidR="00EE3CCB" w:rsidRDefault="00EE3CCB" w:rsidP="00A771CF">
      <w:pPr>
        <w:pStyle w:val="NoSpacing"/>
      </w:pPr>
    </w:p>
    <w:p w14:paraId="6B1EB643" w14:textId="77777777" w:rsidR="00EE3CCB" w:rsidRPr="00A771CF" w:rsidRDefault="00EE3CCB" w:rsidP="00A771CF">
      <w:pPr>
        <w:pStyle w:val="NoSpacing"/>
      </w:pPr>
    </w:p>
    <w:p w14:paraId="14431B35" w14:textId="77777777" w:rsidR="00E2096F" w:rsidRDefault="00E2096F"/>
    <w:tbl>
      <w:tblPr>
        <w:tblStyle w:val="TableGrid"/>
        <w:tblW w:w="10468" w:type="dxa"/>
        <w:tblLook w:val="04A0" w:firstRow="1" w:lastRow="0" w:firstColumn="1" w:lastColumn="0" w:noHBand="0" w:noVBand="1"/>
      </w:tblPr>
      <w:tblGrid>
        <w:gridCol w:w="1950"/>
        <w:gridCol w:w="7274"/>
        <w:gridCol w:w="1244"/>
      </w:tblGrid>
      <w:tr w:rsidR="00497B1D" w14:paraId="7A4EE3B5" w14:textId="77777777" w:rsidTr="0097747F">
        <w:trPr>
          <w:trHeight w:val="267"/>
        </w:trPr>
        <w:tc>
          <w:tcPr>
            <w:tcW w:w="1950" w:type="dxa"/>
            <w:shd w:val="clear" w:color="auto" w:fill="B4C6E7" w:themeFill="accent1" w:themeFillTint="66"/>
          </w:tcPr>
          <w:p w14:paraId="6D778543" w14:textId="77777777" w:rsidR="00497B1D" w:rsidRPr="00497B1D" w:rsidRDefault="00497B1D" w:rsidP="00497B1D">
            <w:pPr>
              <w:jc w:val="center"/>
              <w:rPr>
                <w:b/>
              </w:rPr>
            </w:pPr>
            <w:r w:rsidRPr="00497B1D">
              <w:rPr>
                <w:b/>
              </w:rPr>
              <w:t>Risk/ area of concern</w:t>
            </w:r>
          </w:p>
        </w:tc>
        <w:tc>
          <w:tcPr>
            <w:tcW w:w="7274" w:type="dxa"/>
            <w:shd w:val="clear" w:color="auto" w:fill="B4C6E7" w:themeFill="accent1" w:themeFillTint="66"/>
          </w:tcPr>
          <w:p w14:paraId="1D404058" w14:textId="77777777" w:rsidR="00497B1D" w:rsidRPr="00497B1D" w:rsidRDefault="00497B1D" w:rsidP="00497B1D">
            <w:pPr>
              <w:jc w:val="center"/>
              <w:rPr>
                <w:b/>
              </w:rPr>
            </w:pPr>
            <w:r w:rsidRPr="00497B1D">
              <w:rPr>
                <w:b/>
              </w:rPr>
              <w:t>Measures in place</w:t>
            </w:r>
          </w:p>
        </w:tc>
        <w:tc>
          <w:tcPr>
            <w:tcW w:w="1244" w:type="dxa"/>
            <w:shd w:val="clear" w:color="auto" w:fill="B4C6E7" w:themeFill="accent1" w:themeFillTint="66"/>
          </w:tcPr>
          <w:p w14:paraId="44F1441D" w14:textId="77777777" w:rsidR="00497B1D" w:rsidRDefault="00497B1D" w:rsidP="00497B1D">
            <w:pPr>
              <w:jc w:val="center"/>
              <w:rPr>
                <w:b/>
              </w:rPr>
            </w:pPr>
            <w:r>
              <w:rPr>
                <w:b/>
              </w:rPr>
              <w:t>Provision</w:t>
            </w:r>
          </w:p>
          <w:p w14:paraId="76CEE5B2" w14:textId="77777777" w:rsidR="00E64184" w:rsidRPr="00497B1D" w:rsidRDefault="00E64184" w:rsidP="00497B1D">
            <w:pPr>
              <w:jc w:val="center"/>
              <w:rPr>
                <w:b/>
              </w:rPr>
            </w:pPr>
            <w:r>
              <w:rPr>
                <w:b/>
              </w:rPr>
              <w:t>Cost from catch-up funding</w:t>
            </w:r>
          </w:p>
        </w:tc>
      </w:tr>
      <w:tr w:rsidR="00E64184" w14:paraId="67CB59E0" w14:textId="77777777" w:rsidTr="00E64184">
        <w:trPr>
          <w:trHeight w:val="267"/>
        </w:trPr>
        <w:tc>
          <w:tcPr>
            <w:tcW w:w="1950" w:type="dxa"/>
            <w:shd w:val="clear" w:color="auto" w:fill="auto"/>
          </w:tcPr>
          <w:p w14:paraId="3F82954F" w14:textId="77777777" w:rsidR="00E64184" w:rsidRPr="00DC6DCF" w:rsidRDefault="00E64184" w:rsidP="00E64184">
            <w:pPr>
              <w:rPr>
                <w:sz w:val="20"/>
                <w:szCs w:val="20"/>
              </w:rPr>
            </w:pPr>
            <w:r w:rsidRPr="00DC6DCF">
              <w:rPr>
                <w:sz w:val="20"/>
                <w:szCs w:val="20"/>
              </w:rPr>
              <w:t>Wide ranging gaps expected in all year groups</w:t>
            </w:r>
            <w:r>
              <w:rPr>
                <w:sz w:val="20"/>
                <w:szCs w:val="20"/>
              </w:rPr>
              <w:t xml:space="preserve"> following 2019-2020 academic year</w:t>
            </w:r>
          </w:p>
        </w:tc>
        <w:tc>
          <w:tcPr>
            <w:tcW w:w="7274" w:type="dxa"/>
            <w:shd w:val="clear" w:color="auto" w:fill="auto"/>
          </w:tcPr>
          <w:p w14:paraId="0FA6C999" w14:textId="77777777" w:rsidR="00E64184" w:rsidRDefault="00E64184" w:rsidP="00E64184">
            <w:pPr>
              <w:rPr>
                <w:sz w:val="20"/>
                <w:szCs w:val="20"/>
              </w:rPr>
            </w:pPr>
            <w:proofErr w:type="spellStart"/>
            <w:r w:rsidRPr="00DC6DCF">
              <w:rPr>
                <w:sz w:val="20"/>
                <w:szCs w:val="20"/>
              </w:rPr>
              <w:t>PiXL</w:t>
            </w:r>
            <w:proofErr w:type="spellEnd"/>
            <w:r w:rsidRPr="00DC6DCF">
              <w:rPr>
                <w:sz w:val="20"/>
                <w:szCs w:val="20"/>
              </w:rPr>
              <w:t xml:space="preserve"> gap assessment and response tool purchased to address gaps. </w:t>
            </w:r>
          </w:p>
          <w:p w14:paraId="0C90BA84" w14:textId="77777777" w:rsidR="00E64184" w:rsidRDefault="00E64184" w:rsidP="00E64184">
            <w:pPr>
              <w:pStyle w:val="ListParagraph"/>
              <w:numPr>
                <w:ilvl w:val="0"/>
                <w:numId w:val="7"/>
              </w:numPr>
              <w:rPr>
                <w:sz w:val="20"/>
                <w:szCs w:val="20"/>
              </w:rPr>
            </w:pPr>
            <w:r>
              <w:rPr>
                <w:sz w:val="20"/>
                <w:szCs w:val="20"/>
              </w:rPr>
              <w:t>Autumn transitional package to identify gaps in prior learning and swiftly address these</w:t>
            </w:r>
          </w:p>
          <w:p w14:paraId="27501BD1" w14:textId="77777777" w:rsidR="00E64184" w:rsidRDefault="00E64184" w:rsidP="00E64184">
            <w:pPr>
              <w:pStyle w:val="ListParagraph"/>
              <w:numPr>
                <w:ilvl w:val="0"/>
                <w:numId w:val="7"/>
              </w:numPr>
              <w:rPr>
                <w:sz w:val="20"/>
                <w:szCs w:val="20"/>
              </w:rPr>
            </w:pPr>
            <w:r>
              <w:rPr>
                <w:sz w:val="20"/>
                <w:szCs w:val="20"/>
              </w:rPr>
              <w:t>Diagnostic tests and therapies linked to key learning areas</w:t>
            </w:r>
          </w:p>
          <w:p w14:paraId="4747EDCD" w14:textId="77777777" w:rsidR="00E64184" w:rsidRDefault="00E64184" w:rsidP="00E64184">
            <w:pPr>
              <w:pStyle w:val="ListParagraph"/>
              <w:numPr>
                <w:ilvl w:val="0"/>
                <w:numId w:val="7"/>
              </w:numPr>
              <w:rPr>
                <w:sz w:val="20"/>
                <w:szCs w:val="20"/>
              </w:rPr>
            </w:pPr>
            <w:r>
              <w:rPr>
                <w:sz w:val="20"/>
                <w:szCs w:val="20"/>
              </w:rPr>
              <w:t>Intervention resources provided</w:t>
            </w:r>
          </w:p>
          <w:p w14:paraId="2D7AB940" w14:textId="77777777" w:rsidR="00E64184" w:rsidRDefault="00E64184" w:rsidP="00E64184">
            <w:pPr>
              <w:pStyle w:val="ListParagraph"/>
              <w:numPr>
                <w:ilvl w:val="0"/>
                <w:numId w:val="7"/>
              </w:numPr>
              <w:rPr>
                <w:sz w:val="20"/>
                <w:szCs w:val="20"/>
              </w:rPr>
            </w:pPr>
            <w:r>
              <w:rPr>
                <w:sz w:val="20"/>
                <w:szCs w:val="20"/>
              </w:rPr>
              <w:t>Consultant support to maximise impact of tool across school</w:t>
            </w:r>
          </w:p>
          <w:p w14:paraId="582195AE" w14:textId="77777777" w:rsidR="00E64184" w:rsidRPr="00E64184" w:rsidRDefault="00E64184" w:rsidP="00E64184">
            <w:pPr>
              <w:pStyle w:val="ListParagraph"/>
              <w:numPr>
                <w:ilvl w:val="0"/>
                <w:numId w:val="7"/>
              </w:numPr>
              <w:rPr>
                <w:sz w:val="20"/>
                <w:szCs w:val="20"/>
              </w:rPr>
            </w:pPr>
            <w:r>
              <w:rPr>
                <w:sz w:val="20"/>
                <w:szCs w:val="20"/>
              </w:rPr>
              <w:t>Termly conferences and training available for staff.</w:t>
            </w:r>
          </w:p>
        </w:tc>
        <w:tc>
          <w:tcPr>
            <w:tcW w:w="1244" w:type="dxa"/>
            <w:shd w:val="clear" w:color="auto" w:fill="auto"/>
          </w:tcPr>
          <w:p w14:paraId="1B780E5A" w14:textId="77777777" w:rsidR="00E64184" w:rsidRPr="00760290" w:rsidRDefault="001B7C5D" w:rsidP="00760290">
            <w:r w:rsidRPr="00760290">
              <w:t>£</w:t>
            </w:r>
            <w:r w:rsidRPr="00710CBF">
              <w:rPr>
                <w:sz w:val="20"/>
                <w:szCs w:val="20"/>
              </w:rPr>
              <w:t>2700</w:t>
            </w:r>
          </w:p>
        </w:tc>
      </w:tr>
      <w:tr w:rsidR="00E64184" w14:paraId="33EEDD85" w14:textId="77777777" w:rsidTr="00E64184">
        <w:trPr>
          <w:trHeight w:val="267"/>
        </w:trPr>
        <w:tc>
          <w:tcPr>
            <w:tcW w:w="1950" w:type="dxa"/>
            <w:shd w:val="clear" w:color="auto" w:fill="auto"/>
          </w:tcPr>
          <w:p w14:paraId="7F43D5A4" w14:textId="77777777" w:rsidR="00E64184" w:rsidRPr="001B7C5D" w:rsidRDefault="001B7C5D" w:rsidP="00E64184">
            <w:pPr>
              <w:rPr>
                <w:sz w:val="20"/>
                <w:szCs w:val="20"/>
              </w:rPr>
            </w:pPr>
            <w:r w:rsidRPr="001B7C5D">
              <w:rPr>
                <w:sz w:val="20"/>
                <w:szCs w:val="20"/>
              </w:rPr>
              <w:t>Many children returned to school with delayed progress with their reading as identified by September baseline assessments</w:t>
            </w:r>
          </w:p>
        </w:tc>
        <w:tc>
          <w:tcPr>
            <w:tcW w:w="7274" w:type="dxa"/>
            <w:shd w:val="clear" w:color="auto" w:fill="auto"/>
          </w:tcPr>
          <w:p w14:paraId="6867EAAA" w14:textId="77777777" w:rsidR="00E64184" w:rsidRDefault="001B7C5D" w:rsidP="00E64184">
            <w:pPr>
              <w:rPr>
                <w:sz w:val="20"/>
                <w:szCs w:val="20"/>
              </w:rPr>
            </w:pPr>
            <w:r w:rsidRPr="001B7C5D">
              <w:rPr>
                <w:sz w:val="20"/>
                <w:szCs w:val="20"/>
              </w:rPr>
              <w:t xml:space="preserve">Purchase of Big Cat e-books, to enable children to continue to access reading scheme if they are in isolation or there is another period of lockdown. </w:t>
            </w:r>
          </w:p>
          <w:p w14:paraId="75A25FC9" w14:textId="77777777" w:rsidR="001B7C5D" w:rsidRDefault="001B7C5D" w:rsidP="001B7C5D">
            <w:pPr>
              <w:pStyle w:val="ListParagraph"/>
              <w:numPr>
                <w:ilvl w:val="0"/>
                <w:numId w:val="8"/>
              </w:numPr>
              <w:rPr>
                <w:sz w:val="20"/>
                <w:szCs w:val="20"/>
              </w:rPr>
            </w:pPr>
            <w:r>
              <w:rPr>
                <w:sz w:val="20"/>
                <w:szCs w:val="20"/>
              </w:rPr>
              <w:t xml:space="preserve">Access to all books in reading scheme. </w:t>
            </w:r>
          </w:p>
          <w:p w14:paraId="71418EAA" w14:textId="77777777" w:rsidR="006B5AF1" w:rsidRDefault="006B5AF1" w:rsidP="006B5AF1">
            <w:pPr>
              <w:pStyle w:val="ListParagraph"/>
              <w:numPr>
                <w:ilvl w:val="0"/>
                <w:numId w:val="8"/>
              </w:numPr>
              <w:rPr>
                <w:sz w:val="20"/>
                <w:szCs w:val="20"/>
              </w:rPr>
            </w:pPr>
            <w:r>
              <w:rPr>
                <w:sz w:val="20"/>
                <w:szCs w:val="20"/>
              </w:rPr>
              <w:t>Additional comprehension activities linked to each text</w:t>
            </w:r>
          </w:p>
          <w:p w14:paraId="7B0AF848" w14:textId="77777777" w:rsidR="006B5AF1" w:rsidRPr="006B5AF1" w:rsidRDefault="00760290" w:rsidP="006B5AF1">
            <w:pPr>
              <w:pStyle w:val="ListParagraph"/>
              <w:numPr>
                <w:ilvl w:val="0"/>
                <w:numId w:val="8"/>
              </w:numPr>
              <w:rPr>
                <w:sz w:val="20"/>
                <w:szCs w:val="20"/>
              </w:rPr>
            </w:pPr>
            <w:r>
              <w:rPr>
                <w:sz w:val="20"/>
                <w:szCs w:val="20"/>
              </w:rPr>
              <w:t>Inclusive ‘read to me’ function to support less able readers access texts initially, and support those who are working independently from adults.</w:t>
            </w:r>
          </w:p>
        </w:tc>
        <w:tc>
          <w:tcPr>
            <w:tcW w:w="1244" w:type="dxa"/>
            <w:shd w:val="clear" w:color="auto" w:fill="auto"/>
          </w:tcPr>
          <w:p w14:paraId="6EE3CAFA" w14:textId="77777777" w:rsidR="00E64184" w:rsidRPr="001B7C5D" w:rsidRDefault="001B7C5D" w:rsidP="00E64184">
            <w:pPr>
              <w:rPr>
                <w:sz w:val="20"/>
                <w:szCs w:val="20"/>
              </w:rPr>
            </w:pPr>
            <w:r w:rsidRPr="001B7C5D">
              <w:rPr>
                <w:sz w:val="20"/>
                <w:szCs w:val="20"/>
              </w:rPr>
              <w:t>£999</w:t>
            </w:r>
          </w:p>
        </w:tc>
      </w:tr>
      <w:tr w:rsidR="00E64184" w14:paraId="5F756CE0" w14:textId="77777777" w:rsidTr="00E64184">
        <w:trPr>
          <w:trHeight w:val="267"/>
        </w:trPr>
        <w:tc>
          <w:tcPr>
            <w:tcW w:w="1950" w:type="dxa"/>
            <w:shd w:val="clear" w:color="auto" w:fill="auto"/>
          </w:tcPr>
          <w:p w14:paraId="6DB5052A" w14:textId="77777777" w:rsidR="00E64184" w:rsidRPr="00E64184" w:rsidRDefault="00760290" w:rsidP="00E64184">
            <w:r>
              <w:rPr>
                <w:sz w:val="20"/>
                <w:szCs w:val="20"/>
              </w:rPr>
              <w:t>Some</w:t>
            </w:r>
            <w:r w:rsidRPr="001B7C5D">
              <w:rPr>
                <w:sz w:val="20"/>
                <w:szCs w:val="20"/>
              </w:rPr>
              <w:t xml:space="preserve"> children returned to school with delayed progress with their reading</w:t>
            </w:r>
            <w:r>
              <w:rPr>
                <w:sz w:val="20"/>
                <w:szCs w:val="20"/>
              </w:rPr>
              <w:t xml:space="preserve"> and phonics</w:t>
            </w:r>
            <w:r w:rsidRPr="001B7C5D">
              <w:rPr>
                <w:sz w:val="20"/>
                <w:szCs w:val="20"/>
              </w:rPr>
              <w:t xml:space="preserve"> as identified by September baseline assessments</w:t>
            </w:r>
          </w:p>
        </w:tc>
        <w:tc>
          <w:tcPr>
            <w:tcW w:w="7274" w:type="dxa"/>
            <w:shd w:val="clear" w:color="auto" w:fill="auto"/>
          </w:tcPr>
          <w:p w14:paraId="549411E5" w14:textId="77777777" w:rsidR="00E64184" w:rsidRPr="00710CBF" w:rsidRDefault="00760290" w:rsidP="00E64184">
            <w:pPr>
              <w:rPr>
                <w:sz w:val="20"/>
                <w:szCs w:val="20"/>
              </w:rPr>
            </w:pPr>
            <w:r w:rsidRPr="00710CBF">
              <w:rPr>
                <w:sz w:val="20"/>
                <w:szCs w:val="20"/>
              </w:rPr>
              <w:t xml:space="preserve">Lexia online literacy resources purchased for those children who are two years behind in their learning. </w:t>
            </w:r>
            <w:proofErr w:type="gramStart"/>
            <w:r w:rsidRPr="00710CBF">
              <w:rPr>
                <w:sz w:val="20"/>
                <w:szCs w:val="20"/>
              </w:rPr>
              <w:t>This addresses</w:t>
            </w:r>
            <w:proofErr w:type="gramEnd"/>
            <w:r w:rsidRPr="00710CBF">
              <w:rPr>
                <w:sz w:val="20"/>
                <w:szCs w:val="20"/>
              </w:rPr>
              <w:t>:</w:t>
            </w:r>
          </w:p>
          <w:p w14:paraId="4F7F5EEC" w14:textId="77777777" w:rsidR="00760290" w:rsidRPr="00710CBF" w:rsidRDefault="00760290" w:rsidP="00760290">
            <w:pPr>
              <w:pStyle w:val="ListParagraph"/>
              <w:numPr>
                <w:ilvl w:val="0"/>
                <w:numId w:val="9"/>
              </w:numPr>
              <w:rPr>
                <w:sz w:val="20"/>
                <w:szCs w:val="20"/>
              </w:rPr>
            </w:pPr>
            <w:r w:rsidRPr="00710CBF">
              <w:rPr>
                <w:sz w:val="20"/>
                <w:szCs w:val="20"/>
              </w:rPr>
              <w:t>Phonics including blending and segmenting</w:t>
            </w:r>
          </w:p>
          <w:p w14:paraId="646970AE" w14:textId="77777777" w:rsidR="00760290" w:rsidRPr="00710CBF" w:rsidRDefault="00760290" w:rsidP="00760290">
            <w:pPr>
              <w:pStyle w:val="ListParagraph"/>
              <w:numPr>
                <w:ilvl w:val="0"/>
                <w:numId w:val="9"/>
              </w:numPr>
              <w:rPr>
                <w:sz w:val="20"/>
                <w:szCs w:val="20"/>
              </w:rPr>
            </w:pPr>
            <w:r w:rsidRPr="00710CBF">
              <w:rPr>
                <w:sz w:val="20"/>
                <w:szCs w:val="20"/>
              </w:rPr>
              <w:t>Spelling patterns</w:t>
            </w:r>
          </w:p>
          <w:p w14:paraId="3C14A119" w14:textId="77777777" w:rsidR="00760290" w:rsidRPr="00710CBF" w:rsidRDefault="00760290" w:rsidP="00760290">
            <w:pPr>
              <w:pStyle w:val="ListParagraph"/>
              <w:numPr>
                <w:ilvl w:val="0"/>
                <w:numId w:val="9"/>
              </w:numPr>
              <w:rPr>
                <w:sz w:val="20"/>
                <w:szCs w:val="20"/>
              </w:rPr>
            </w:pPr>
            <w:r w:rsidRPr="00710CBF">
              <w:rPr>
                <w:sz w:val="20"/>
                <w:szCs w:val="20"/>
              </w:rPr>
              <w:t>Developing vocabulary</w:t>
            </w:r>
          </w:p>
          <w:p w14:paraId="7E750668" w14:textId="77777777" w:rsidR="00760290" w:rsidRPr="00710CBF" w:rsidRDefault="00760290" w:rsidP="00760290">
            <w:pPr>
              <w:pStyle w:val="ListParagraph"/>
              <w:numPr>
                <w:ilvl w:val="0"/>
                <w:numId w:val="9"/>
              </w:numPr>
              <w:rPr>
                <w:sz w:val="20"/>
                <w:szCs w:val="20"/>
              </w:rPr>
            </w:pPr>
            <w:r w:rsidRPr="00710CBF">
              <w:rPr>
                <w:sz w:val="20"/>
                <w:szCs w:val="20"/>
              </w:rPr>
              <w:t>Grammar terms and sentence structure</w:t>
            </w:r>
          </w:p>
          <w:p w14:paraId="6A83CB2D" w14:textId="77777777" w:rsidR="00760290" w:rsidRPr="00710CBF" w:rsidRDefault="00760290" w:rsidP="00760290">
            <w:pPr>
              <w:pStyle w:val="ListParagraph"/>
              <w:numPr>
                <w:ilvl w:val="0"/>
                <w:numId w:val="9"/>
              </w:numPr>
              <w:rPr>
                <w:sz w:val="20"/>
                <w:szCs w:val="20"/>
              </w:rPr>
            </w:pPr>
            <w:r w:rsidRPr="00710CBF">
              <w:rPr>
                <w:sz w:val="20"/>
                <w:szCs w:val="20"/>
              </w:rPr>
              <w:t>Comprehension skills</w:t>
            </w:r>
          </w:p>
          <w:p w14:paraId="5D165FE0" w14:textId="77777777" w:rsidR="00760290" w:rsidRPr="00E64184" w:rsidRDefault="00760290" w:rsidP="00760290">
            <w:r w:rsidRPr="00710CBF">
              <w:rPr>
                <w:sz w:val="20"/>
                <w:szCs w:val="20"/>
              </w:rPr>
              <w:t>The programme is responsive and gives extended teaching input where pupils find tasks difficult</w:t>
            </w:r>
            <w:r w:rsidR="00710CBF">
              <w:rPr>
                <w:sz w:val="20"/>
                <w:szCs w:val="20"/>
              </w:rPr>
              <w:t xml:space="preserve">, as well as addressing specific gaps. This programme can be accessed remotely in case of isolation of hub closure. </w:t>
            </w:r>
          </w:p>
        </w:tc>
        <w:tc>
          <w:tcPr>
            <w:tcW w:w="1244" w:type="dxa"/>
            <w:shd w:val="clear" w:color="auto" w:fill="auto"/>
          </w:tcPr>
          <w:p w14:paraId="3E690F1C" w14:textId="77777777" w:rsidR="00E64184" w:rsidRPr="00E64184" w:rsidRDefault="00710CBF" w:rsidP="00E64184">
            <w:r>
              <w:t>£</w:t>
            </w:r>
            <w:r w:rsidRPr="00710CBF">
              <w:rPr>
                <w:sz w:val="20"/>
                <w:szCs w:val="20"/>
              </w:rPr>
              <w:t>3780</w:t>
            </w:r>
          </w:p>
        </w:tc>
      </w:tr>
      <w:tr w:rsidR="00374CAA" w14:paraId="1B8763B1" w14:textId="77777777" w:rsidTr="00356ED9">
        <w:trPr>
          <w:trHeight w:val="267"/>
        </w:trPr>
        <w:tc>
          <w:tcPr>
            <w:tcW w:w="10468" w:type="dxa"/>
            <w:gridSpan w:val="3"/>
            <w:shd w:val="clear" w:color="auto" w:fill="auto"/>
          </w:tcPr>
          <w:p w14:paraId="36DEC70F" w14:textId="77777777" w:rsidR="00374CAA" w:rsidRPr="00E64184" w:rsidRDefault="00374CAA" w:rsidP="00E64184"/>
        </w:tc>
      </w:tr>
      <w:tr w:rsidR="00E64184" w14:paraId="188EAD35" w14:textId="77777777" w:rsidTr="0097747F">
        <w:trPr>
          <w:trHeight w:val="2177"/>
        </w:trPr>
        <w:tc>
          <w:tcPr>
            <w:tcW w:w="1950" w:type="dxa"/>
            <w:vMerge w:val="restart"/>
          </w:tcPr>
          <w:p w14:paraId="34083D97" w14:textId="77777777" w:rsidR="00E64184" w:rsidRPr="00DC6DCF" w:rsidRDefault="00E64184" w:rsidP="00E64184">
            <w:pPr>
              <w:rPr>
                <w:sz w:val="20"/>
                <w:szCs w:val="20"/>
              </w:rPr>
            </w:pPr>
            <w:r w:rsidRPr="00DC6DCF">
              <w:rPr>
                <w:sz w:val="20"/>
                <w:szCs w:val="20"/>
              </w:rPr>
              <w:t>A significant learning gap amongst our Year 4 pupils in all core learning areas</w:t>
            </w:r>
            <w:r>
              <w:rPr>
                <w:sz w:val="20"/>
                <w:szCs w:val="20"/>
              </w:rPr>
              <w:t>, particularly reading, phonics, grammar and writing</w:t>
            </w:r>
            <w:r w:rsidRPr="00DC6DCF">
              <w:rPr>
                <w:sz w:val="20"/>
                <w:szCs w:val="20"/>
              </w:rPr>
              <w:t xml:space="preserve">. </w:t>
            </w:r>
          </w:p>
        </w:tc>
        <w:tc>
          <w:tcPr>
            <w:tcW w:w="7274" w:type="dxa"/>
          </w:tcPr>
          <w:p w14:paraId="3B2F9DDA" w14:textId="77777777" w:rsidR="00E64184" w:rsidRDefault="00E64184" w:rsidP="00E64184">
            <w:pPr>
              <w:rPr>
                <w:sz w:val="20"/>
                <w:szCs w:val="20"/>
              </w:rPr>
            </w:pPr>
            <w:r>
              <w:rPr>
                <w:sz w:val="20"/>
                <w:szCs w:val="20"/>
              </w:rPr>
              <w:t>What:</w:t>
            </w:r>
          </w:p>
          <w:p w14:paraId="2CC77F6D" w14:textId="77777777" w:rsidR="00E64184" w:rsidRDefault="00E64184" w:rsidP="00E64184">
            <w:pPr>
              <w:pStyle w:val="ListParagraph"/>
              <w:numPr>
                <w:ilvl w:val="0"/>
                <w:numId w:val="5"/>
              </w:numPr>
              <w:rPr>
                <w:sz w:val="20"/>
                <w:szCs w:val="20"/>
              </w:rPr>
            </w:pPr>
            <w:r w:rsidRPr="0097747F">
              <w:rPr>
                <w:sz w:val="20"/>
                <w:szCs w:val="20"/>
              </w:rPr>
              <w:t xml:space="preserve">Small group tutoring in focused intervention </w:t>
            </w:r>
            <w:r>
              <w:rPr>
                <w:sz w:val="20"/>
                <w:szCs w:val="20"/>
              </w:rPr>
              <w:t xml:space="preserve">and teaching </w:t>
            </w:r>
            <w:r w:rsidRPr="0097747F">
              <w:rPr>
                <w:sz w:val="20"/>
                <w:szCs w:val="20"/>
              </w:rPr>
              <w:t>groups for writing in half termly booster groups.</w:t>
            </w:r>
            <w:r>
              <w:rPr>
                <w:sz w:val="20"/>
                <w:szCs w:val="20"/>
              </w:rPr>
              <w:t xml:space="preserve"> Pupils selected to be key marginals who will benefit from short term boost to fill identified gaps.  Monitored through intervention trackers and teacher assessment.</w:t>
            </w:r>
          </w:p>
          <w:p w14:paraId="7C703A28" w14:textId="77777777" w:rsidR="00E64184" w:rsidRDefault="00E64184" w:rsidP="00E64184">
            <w:pPr>
              <w:pStyle w:val="ListParagraph"/>
              <w:shd w:val="clear" w:color="auto" w:fill="E2EFD9" w:themeFill="accent6" w:themeFillTint="33"/>
              <w:ind w:left="360"/>
              <w:rPr>
                <w:sz w:val="20"/>
                <w:szCs w:val="20"/>
              </w:rPr>
            </w:pPr>
            <w:r>
              <w:rPr>
                <w:sz w:val="20"/>
                <w:szCs w:val="20"/>
              </w:rPr>
              <w:t xml:space="preserve">Children benefitting: 10-12 per half term on rotational basis for 1 year/ ALL due to smaller group sizes and greater 1:1 feedback </w:t>
            </w:r>
            <w:proofErr w:type="gramStart"/>
            <w:r>
              <w:rPr>
                <w:sz w:val="20"/>
                <w:szCs w:val="20"/>
              </w:rPr>
              <w:t>opportunities</w:t>
            </w:r>
            <w:proofErr w:type="gramEnd"/>
            <w:r>
              <w:rPr>
                <w:sz w:val="20"/>
                <w:szCs w:val="20"/>
              </w:rPr>
              <w:t xml:space="preserve"> in class.</w:t>
            </w:r>
          </w:p>
          <w:p w14:paraId="78740E42" w14:textId="77777777" w:rsidR="00E64184" w:rsidRDefault="00E64184" w:rsidP="00E64184">
            <w:pPr>
              <w:pStyle w:val="ListParagraph"/>
              <w:numPr>
                <w:ilvl w:val="0"/>
                <w:numId w:val="5"/>
              </w:numPr>
              <w:rPr>
                <w:sz w:val="20"/>
                <w:szCs w:val="20"/>
              </w:rPr>
            </w:pPr>
            <w:r>
              <w:rPr>
                <w:sz w:val="20"/>
                <w:szCs w:val="20"/>
              </w:rPr>
              <w:t xml:space="preserve">Small group and 1:1 phonics provision monitored through intervention trackers, following Lesley Clarke Phonics and </w:t>
            </w:r>
            <w:proofErr w:type="gramStart"/>
            <w:r>
              <w:rPr>
                <w:sz w:val="20"/>
                <w:szCs w:val="20"/>
              </w:rPr>
              <w:t>5 minute</w:t>
            </w:r>
            <w:proofErr w:type="gramEnd"/>
            <w:r>
              <w:rPr>
                <w:sz w:val="20"/>
                <w:szCs w:val="20"/>
              </w:rPr>
              <w:t xml:space="preserve"> daily sheets</w:t>
            </w:r>
          </w:p>
          <w:p w14:paraId="1753F264" w14:textId="77777777" w:rsidR="00E64184" w:rsidRDefault="00E64184" w:rsidP="00E64184">
            <w:pPr>
              <w:pStyle w:val="ListParagraph"/>
              <w:ind w:left="360"/>
              <w:rPr>
                <w:sz w:val="20"/>
                <w:szCs w:val="20"/>
              </w:rPr>
            </w:pPr>
            <w:r w:rsidRPr="0097747F">
              <w:rPr>
                <w:sz w:val="20"/>
                <w:szCs w:val="20"/>
                <w:shd w:val="clear" w:color="auto" w:fill="E2EFD9" w:themeFill="accent6" w:themeFillTint="33"/>
              </w:rPr>
              <w:t>Children benefitting: Small group daily in each class/ 7 1:1 pupils/ rest of class increased teacher focus on phonics/ spelling at their level</w:t>
            </w:r>
          </w:p>
          <w:p w14:paraId="0A8695E9" w14:textId="77777777" w:rsidR="00E64184" w:rsidRDefault="00E64184" w:rsidP="00E64184">
            <w:pPr>
              <w:pStyle w:val="ListParagraph"/>
              <w:numPr>
                <w:ilvl w:val="0"/>
                <w:numId w:val="5"/>
              </w:numPr>
              <w:rPr>
                <w:sz w:val="20"/>
                <w:szCs w:val="20"/>
              </w:rPr>
            </w:pPr>
            <w:r>
              <w:rPr>
                <w:sz w:val="20"/>
                <w:szCs w:val="20"/>
              </w:rPr>
              <w:t>Small group and 1:1 reading interventions following Reading Masters and Big Cat Reading catch-up sessions. Monitored through intervention trackers and assessments.</w:t>
            </w:r>
          </w:p>
          <w:p w14:paraId="6831CC3B" w14:textId="77777777" w:rsidR="00E64184" w:rsidRDefault="00E64184" w:rsidP="00E64184">
            <w:pPr>
              <w:pStyle w:val="ListParagraph"/>
              <w:shd w:val="clear" w:color="auto" w:fill="E2EFD9" w:themeFill="accent6" w:themeFillTint="33"/>
              <w:ind w:left="360"/>
              <w:rPr>
                <w:sz w:val="20"/>
                <w:szCs w:val="20"/>
              </w:rPr>
            </w:pPr>
            <w:r>
              <w:rPr>
                <w:sz w:val="20"/>
                <w:szCs w:val="20"/>
              </w:rPr>
              <w:t xml:space="preserve">Children benefitting: 10-12 per half term on rotational basis for 1 year /10-12 per half term/ ALL due to smaller group sizes and greater 1:1 feedback </w:t>
            </w:r>
            <w:proofErr w:type="gramStart"/>
            <w:r>
              <w:rPr>
                <w:sz w:val="20"/>
                <w:szCs w:val="20"/>
              </w:rPr>
              <w:t>opportunities</w:t>
            </w:r>
            <w:proofErr w:type="gramEnd"/>
            <w:r>
              <w:rPr>
                <w:sz w:val="20"/>
                <w:szCs w:val="20"/>
              </w:rPr>
              <w:t xml:space="preserve"> in class</w:t>
            </w:r>
          </w:p>
          <w:p w14:paraId="5974E34D" w14:textId="77777777" w:rsidR="00E64184" w:rsidRDefault="00E64184" w:rsidP="00E64184">
            <w:pPr>
              <w:pStyle w:val="ListParagraph"/>
              <w:numPr>
                <w:ilvl w:val="0"/>
                <w:numId w:val="5"/>
              </w:numPr>
              <w:rPr>
                <w:sz w:val="20"/>
                <w:szCs w:val="20"/>
              </w:rPr>
            </w:pPr>
            <w:r>
              <w:rPr>
                <w:sz w:val="20"/>
                <w:szCs w:val="20"/>
              </w:rPr>
              <w:t>Focused EAL intervention group working on verb agreement, tenses and vocabulary. Children will be tracked using EAL levels of competence tracking grid and supporting teaching resources. (Tracking children through levels: New to English, Early Acquisition, Developing Competence, Competent and Fluent)</w:t>
            </w:r>
          </w:p>
          <w:p w14:paraId="7440E214" w14:textId="77777777" w:rsidR="00E64184" w:rsidRDefault="00E64184" w:rsidP="00E64184">
            <w:pPr>
              <w:pStyle w:val="ListParagraph"/>
              <w:ind w:left="360"/>
              <w:rPr>
                <w:sz w:val="20"/>
                <w:szCs w:val="20"/>
                <w:shd w:val="clear" w:color="auto" w:fill="E2EFD9" w:themeFill="accent6" w:themeFillTint="33"/>
              </w:rPr>
            </w:pPr>
            <w:r w:rsidRPr="00C93CEC">
              <w:rPr>
                <w:sz w:val="20"/>
                <w:szCs w:val="20"/>
                <w:shd w:val="clear" w:color="auto" w:fill="E2EFD9" w:themeFill="accent6" w:themeFillTint="33"/>
              </w:rPr>
              <w:t>Children benefitting: 7 children</w:t>
            </w:r>
            <w:r>
              <w:rPr>
                <w:sz w:val="20"/>
                <w:szCs w:val="20"/>
                <w:shd w:val="clear" w:color="auto" w:fill="E2EFD9" w:themeFill="accent6" w:themeFillTint="33"/>
              </w:rPr>
              <w:t xml:space="preserve"> – Wider school EAL provision as good practice is developed and shared. </w:t>
            </w:r>
          </w:p>
          <w:p w14:paraId="782E02B0" w14:textId="77777777" w:rsidR="00E64184" w:rsidRDefault="00E64184" w:rsidP="00E64184">
            <w:pPr>
              <w:pStyle w:val="ListParagraph"/>
              <w:ind w:left="360"/>
              <w:rPr>
                <w:sz w:val="20"/>
                <w:szCs w:val="20"/>
              </w:rPr>
            </w:pPr>
          </w:p>
          <w:p w14:paraId="182A09A9" w14:textId="77777777" w:rsidR="00E64184" w:rsidRDefault="00E64184" w:rsidP="00E64184">
            <w:pPr>
              <w:pStyle w:val="ListParagraph"/>
              <w:ind w:left="0"/>
              <w:rPr>
                <w:sz w:val="20"/>
                <w:szCs w:val="20"/>
              </w:rPr>
            </w:pPr>
            <w:r>
              <w:rPr>
                <w:sz w:val="20"/>
                <w:szCs w:val="20"/>
              </w:rPr>
              <w:t>Specific focus on the following gaps across these interventions:</w:t>
            </w:r>
          </w:p>
          <w:p w14:paraId="1FC14547" w14:textId="77777777" w:rsidR="00E64184" w:rsidRDefault="00E64184" w:rsidP="00E64184">
            <w:pPr>
              <w:pStyle w:val="ListParagraph"/>
              <w:ind w:left="360"/>
              <w:rPr>
                <w:sz w:val="20"/>
                <w:szCs w:val="20"/>
              </w:rPr>
            </w:pPr>
          </w:p>
          <w:tbl>
            <w:tblPr>
              <w:tblStyle w:val="TableGrid"/>
              <w:tblW w:w="0" w:type="auto"/>
              <w:tblLook w:val="04A0" w:firstRow="1" w:lastRow="0" w:firstColumn="1" w:lastColumn="0" w:noHBand="0" w:noVBand="1"/>
            </w:tblPr>
            <w:tblGrid>
              <w:gridCol w:w="1904"/>
              <w:gridCol w:w="2519"/>
              <w:gridCol w:w="907"/>
              <w:gridCol w:w="1718"/>
            </w:tblGrid>
            <w:tr w:rsidR="00E64184" w14:paraId="0471F6B1" w14:textId="77777777" w:rsidTr="00044F14">
              <w:tc>
                <w:tcPr>
                  <w:tcW w:w="1904" w:type="dxa"/>
                </w:tcPr>
                <w:p w14:paraId="548B8710" w14:textId="77777777" w:rsidR="00E64184" w:rsidRDefault="00E64184" w:rsidP="00E64184">
                  <w:r>
                    <w:lastRenderedPageBreak/>
                    <w:t>Grammar</w:t>
                  </w:r>
                </w:p>
              </w:tc>
              <w:tc>
                <w:tcPr>
                  <w:tcW w:w="2519" w:type="dxa"/>
                </w:tcPr>
                <w:p w14:paraId="07C95B97" w14:textId="77777777" w:rsidR="00E64184" w:rsidRDefault="00E64184" w:rsidP="00E64184">
                  <w:r>
                    <w:t>Writing</w:t>
                  </w:r>
                </w:p>
              </w:tc>
              <w:tc>
                <w:tcPr>
                  <w:tcW w:w="907" w:type="dxa"/>
                </w:tcPr>
                <w:p w14:paraId="52CB5D1D" w14:textId="77777777" w:rsidR="00E64184" w:rsidRDefault="00E64184" w:rsidP="00E64184">
                  <w:r>
                    <w:t>Phonics</w:t>
                  </w:r>
                </w:p>
              </w:tc>
              <w:tc>
                <w:tcPr>
                  <w:tcW w:w="1718" w:type="dxa"/>
                </w:tcPr>
                <w:p w14:paraId="5EBFF049" w14:textId="77777777" w:rsidR="00E64184" w:rsidRDefault="00E64184" w:rsidP="00E64184">
                  <w:r>
                    <w:t xml:space="preserve">Reading </w:t>
                  </w:r>
                </w:p>
              </w:tc>
            </w:tr>
            <w:tr w:rsidR="00E64184" w14:paraId="10D7CE62" w14:textId="77777777" w:rsidTr="00044F14">
              <w:tc>
                <w:tcPr>
                  <w:tcW w:w="1904" w:type="dxa"/>
                </w:tcPr>
                <w:p w14:paraId="2311936F" w14:textId="77777777" w:rsidR="00E64184" w:rsidRPr="00044F14" w:rsidRDefault="00E64184" w:rsidP="00E64184">
                  <w:pPr>
                    <w:rPr>
                      <w:sz w:val="16"/>
                      <w:szCs w:val="16"/>
                    </w:rPr>
                  </w:pPr>
                  <w:r w:rsidRPr="00044F14">
                    <w:rPr>
                      <w:sz w:val="16"/>
                      <w:szCs w:val="16"/>
                    </w:rPr>
                    <w:t>Consistent verb tenses 15%</w:t>
                  </w:r>
                </w:p>
                <w:p w14:paraId="7451C676" w14:textId="77777777" w:rsidR="00E64184" w:rsidRPr="00044F14" w:rsidRDefault="00E64184" w:rsidP="00E64184">
                  <w:pPr>
                    <w:rPr>
                      <w:sz w:val="16"/>
                      <w:szCs w:val="16"/>
                    </w:rPr>
                  </w:pPr>
                  <w:r w:rsidRPr="00044F14">
                    <w:rPr>
                      <w:sz w:val="16"/>
                      <w:szCs w:val="16"/>
                    </w:rPr>
                    <w:t>Adverbs to begin sentences 23%</w:t>
                  </w:r>
                </w:p>
                <w:p w14:paraId="0037A577" w14:textId="77777777" w:rsidR="00E64184" w:rsidRPr="00044F14" w:rsidRDefault="00E64184" w:rsidP="00E64184">
                  <w:pPr>
                    <w:rPr>
                      <w:sz w:val="16"/>
                      <w:szCs w:val="16"/>
                    </w:rPr>
                  </w:pPr>
                  <w:r w:rsidRPr="00044F14">
                    <w:rPr>
                      <w:sz w:val="16"/>
                      <w:szCs w:val="16"/>
                    </w:rPr>
                    <w:t>Subject verb agreement 13%</w:t>
                  </w:r>
                </w:p>
                <w:p w14:paraId="71D37ECC" w14:textId="77777777" w:rsidR="00E64184" w:rsidRPr="00044F14" w:rsidRDefault="00E64184" w:rsidP="00E64184">
                  <w:pPr>
                    <w:rPr>
                      <w:sz w:val="16"/>
                      <w:szCs w:val="16"/>
                    </w:rPr>
                  </w:pPr>
                  <w:r w:rsidRPr="00044F14">
                    <w:rPr>
                      <w:sz w:val="16"/>
                      <w:szCs w:val="16"/>
                    </w:rPr>
                    <w:t>Subordinating and coordinating conjunctions 26%</w:t>
                  </w:r>
                </w:p>
                <w:p w14:paraId="59B45DA2" w14:textId="77777777" w:rsidR="00E64184" w:rsidRPr="00044F14" w:rsidRDefault="00E64184" w:rsidP="00E64184">
                  <w:pPr>
                    <w:rPr>
                      <w:sz w:val="16"/>
                      <w:szCs w:val="16"/>
                    </w:rPr>
                  </w:pPr>
                  <w:r w:rsidRPr="00044F14">
                    <w:rPr>
                      <w:sz w:val="16"/>
                      <w:szCs w:val="16"/>
                    </w:rPr>
                    <w:t>Accurate capital letter 18%</w:t>
                  </w:r>
                </w:p>
                <w:p w14:paraId="7778EBEF" w14:textId="77777777" w:rsidR="00E64184" w:rsidRPr="00044F14" w:rsidRDefault="00E64184" w:rsidP="00E64184">
                  <w:pPr>
                    <w:rPr>
                      <w:sz w:val="16"/>
                      <w:szCs w:val="16"/>
                    </w:rPr>
                  </w:pPr>
                  <w:r w:rsidRPr="00044F14">
                    <w:rPr>
                      <w:sz w:val="16"/>
                      <w:szCs w:val="16"/>
                    </w:rPr>
                    <w:t>Full stops/question/ exclamation marks 14%</w:t>
                  </w:r>
                </w:p>
                <w:p w14:paraId="75003917" w14:textId="77777777" w:rsidR="00E64184" w:rsidRPr="00044F14" w:rsidRDefault="00E64184" w:rsidP="00E64184">
                  <w:pPr>
                    <w:rPr>
                      <w:sz w:val="16"/>
                      <w:szCs w:val="16"/>
                    </w:rPr>
                  </w:pPr>
                  <w:r w:rsidRPr="00044F14">
                    <w:rPr>
                      <w:sz w:val="16"/>
                      <w:szCs w:val="16"/>
                    </w:rPr>
                    <w:t>Commas in lists 16%</w:t>
                  </w:r>
                </w:p>
                <w:p w14:paraId="249B1E92" w14:textId="77777777" w:rsidR="00E64184" w:rsidRPr="00044F14" w:rsidRDefault="00E64184" w:rsidP="00E64184">
                  <w:pPr>
                    <w:rPr>
                      <w:sz w:val="16"/>
                      <w:szCs w:val="16"/>
                    </w:rPr>
                  </w:pPr>
                  <w:r w:rsidRPr="00044F14">
                    <w:rPr>
                      <w:sz w:val="16"/>
                      <w:szCs w:val="16"/>
                    </w:rPr>
                    <w:t>Apostrophes for omission 14%</w:t>
                  </w:r>
                </w:p>
                <w:p w14:paraId="6DF07A36" w14:textId="77777777" w:rsidR="00E64184" w:rsidRPr="00044F14" w:rsidRDefault="00E64184" w:rsidP="00E64184">
                  <w:pPr>
                    <w:rPr>
                      <w:sz w:val="16"/>
                      <w:szCs w:val="16"/>
                    </w:rPr>
                  </w:pPr>
                  <w:r w:rsidRPr="00044F14">
                    <w:rPr>
                      <w:sz w:val="16"/>
                      <w:szCs w:val="16"/>
                    </w:rPr>
                    <w:t>Possessive apostrophes 8%</w:t>
                  </w:r>
                </w:p>
                <w:p w14:paraId="3D8D6C25" w14:textId="77777777" w:rsidR="00E64184" w:rsidRPr="00044F14" w:rsidRDefault="00E64184" w:rsidP="00E64184">
                  <w:pPr>
                    <w:rPr>
                      <w:sz w:val="16"/>
                      <w:szCs w:val="16"/>
                    </w:rPr>
                  </w:pPr>
                  <w:r w:rsidRPr="00044F14">
                    <w:rPr>
                      <w:sz w:val="16"/>
                      <w:szCs w:val="16"/>
                    </w:rPr>
                    <w:t>Identify main and subordinate clauses 9%</w:t>
                  </w:r>
                </w:p>
              </w:tc>
              <w:tc>
                <w:tcPr>
                  <w:tcW w:w="2519" w:type="dxa"/>
                </w:tcPr>
                <w:p w14:paraId="757A8B19" w14:textId="77777777" w:rsidR="00E64184" w:rsidRPr="00044F14" w:rsidRDefault="00E64184" w:rsidP="00E64184">
                  <w:pPr>
                    <w:rPr>
                      <w:sz w:val="16"/>
                      <w:szCs w:val="16"/>
                    </w:rPr>
                  </w:pPr>
                  <w:r w:rsidRPr="00044F14">
                    <w:rPr>
                      <w:sz w:val="16"/>
                      <w:szCs w:val="16"/>
                    </w:rPr>
                    <w:t>Describe settings and characters</w:t>
                  </w:r>
                </w:p>
                <w:p w14:paraId="79373F1B" w14:textId="77777777" w:rsidR="00E64184" w:rsidRPr="00044F14" w:rsidRDefault="00E64184" w:rsidP="00E64184">
                  <w:pPr>
                    <w:rPr>
                      <w:sz w:val="16"/>
                      <w:szCs w:val="16"/>
                    </w:rPr>
                  </w:pPr>
                  <w:r w:rsidRPr="00044F14">
                    <w:rPr>
                      <w:sz w:val="16"/>
                      <w:szCs w:val="16"/>
                    </w:rPr>
                    <w:t>Sustain writing across a whole piece</w:t>
                  </w:r>
                </w:p>
                <w:p w14:paraId="577CE6EB" w14:textId="77777777" w:rsidR="00E64184" w:rsidRPr="00044F14" w:rsidRDefault="00E64184" w:rsidP="00E64184">
                  <w:pPr>
                    <w:rPr>
                      <w:sz w:val="16"/>
                      <w:szCs w:val="16"/>
                    </w:rPr>
                  </w:pPr>
                  <w:r w:rsidRPr="00044F14">
                    <w:rPr>
                      <w:sz w:val="16"/>
                      <w:szCs w:val="16"/>
                    </w:rPr>
                    <w:t>Use more than one clause and coordinating and subordinating conjunctions to extend sentences</w:t>
                  </w:r>
                </w:p>
                <w:p w14:paraId="6DB3A5CD" w14:textId="77777777" w:rsidR="00E64184" w:rsidRPr="00044F14" w:rsidRDefault="00E64184" w:rsidP="00E64184">
                  <w:pPr>
                    <w:rPr>
                      <w:sz w:val="16"/>
                      <w:szCs w:val="16"/>
                    </w:rPr>
                  </w:pPr>
                  <w:r w:rsidRPr="00044F14">
                    <w:rPr>
                      <w:sz w:val="16"/>
                      <w:szCs w:val="16"/>
                    </w:rPr>
                    <w:t>Use paragraphs</w:t>
                  </w:r>
                </w:p>
                <w:p w14:paraId="1FECA0E9" w14:textId="77777777" w:rsidR="00E64184" w:rsidRPr="00044F14" w:rsidRDefault="00E64184" w:rsidP="00E64184">
                  <w:pPr>
                    <w:rPr>
                      <w:sz w:val="16"/>
                      <w:szCs w:val="16"/>
                    </w:rPr>
                  </w:pPr>
                  <w:r w:rsidRPr="00044F14">
                    <w:rPr>
                      <w:sz w:val="16"/>
                      <w:szCs w:val="16"/>
                    </w:rPr>
                    <w:t xml:space="preserve">Write for a range of purposes </w:t>
                  </w:r>
                  <w:proofErr w:type="gramStart"/>
                  <w:r w:rsidRPr="00044F14">
                    <w:rPr>
                      <w:sz w:val="16"/>
                      <w:szCs w:val="16"/>
                    </w:rPr>
                    <w:t>( with</w:t>
                  </w:r>
                  <w:proofErr w:type="gramEnd"/>
                  <w:r w:rsidRPr="00044F14">
                    <w:rPr>
                      <w:sz w:val="16"/>
                      <w:szCs w:val="16"/>
                    </w:rPr>
                    <w:t xml:space="preserve"> carefully selected vocabulary and tone, considering purpose and audience)</w:t>
                  </w:r>
                </w:p>
                <w:p w14:paraId="53E5D2CD" w14:textId="77777777" w:rsidR="00E64184" w:rsidRPr="00044F14" w:rsidRDefault="00E64184" w:rsidP="00E64184">
                  <w:pPr>
                    <w:rPr>
                      <w:sz w:val="16"/>
                      <w:szCs w:val="16"/>
                    </w:rPr>
                  </w:pPr>
                  <w:r w:rsidRPr="00044F14">
                    <w:rPr>
                      <w:sz w:val="16"/>
                      <w:szCs w:val="16"/>
                    </w:rPr>
                    <w:t>Use varied sentence openers</w:t>
                  </w:r>
                </w:p>
                <w:p w14:paraId="32D4D93E" w14:textId="77777777" w:rsidR="00E64184" w:rsidRPr="00044F14" w:rsidRDefault="00E64184" w:rsidP="00E64184">
                  <w:pPr>
                    <w:rPr>
                      <w:sz w:val="16"/>
                      <w:szCs w:val="16"/>
                    </w:rPr>
                  </w:pPr>
                  <w:r w:rsidRPr="00044F14">
                    <w:rPr>
                      <w:sz w:val="16"/>
                      <w:szCs w:val="16"/>
                    </w:rPr>
                    <w:t>Use consistent and correct tense</w:t>
                  </w:r>
                </w:p>
                <w:p w14:paraId="2A9EE00A" w14:textId="77777777" w:rsidR="00E64184" w:rsidRPr="00044F14" w:rsidRDefault="00E64184" w:rsidP="00E64184">
                  <w:pPr>
                    <w:rPr>
                      <w:sz w:val="16"/>
                      <w:szCs w:val="16"/>
                    </w:rPr>
                  </w:pPr>
                  <w:r w:rsidRPr="00044F14">
                    <w:rPr>
                      <w:sz w:val="16"/>
                      <w:szCs w:val="16"/>
                    </w:rPr>
                    <w:t>Use precise adjectives in noun phrases</w:t>
                  </w:r>
                </w:p>
                <w:p w14:paraId="2C05A22C" w14:textId="77777777" w:rsidR="00E64184" w:rsidRPr="00044F14" w:rsidRDefault="00E64184" w:rsidP="00E64184">
                  <w:pPr>
                    <w:rPr>
                      <w:sz w:val="16"/>
                      <w:szCs w:val="16"/>
                    </w:rPr>
                  </w:pPr>
                  <w:r w:rsidRPr="00044F14">
                    <w:rPr>
                      <w:sz w:val="16"/>
                      <w:szCs w:val="16"/>
                    </w:rPr>
                    <w:t>Use the present perfect form</w:t>
                  </w:r>
                </w:p>
                <w:p w14:paraId="6F2B30D9" w14:textId="77777777" w:rsidR="00E64184" w:rsidRPr="00044F14" w:rsidRDefault="00E64184" w:rsidP="00E64184">
                  <w:pPr>
                    <w:rPr>
                      <w:sz w:val="16"/>
                      <w:szCs w:val="16"/>
                    </w:rPr>
                  </w:pPr>
                  <w:r w:rsidRPr="00044F14">
                    <w:rPr>
                      <w:sz w:val="16"/>
                      <w:szCs w:val="16"/>
                    </w:rPr>
                    <w:t>Use commas for lists</w:t>
                  </w:r>
                </w:p>
                <w:p w14:paraId="66FDDDE1" w14:textId="77777777" w:rsidR="00E64184" w:rsidRPr="00044F14" w:rsidRDefault="00E64184" w:rsidP="00E64184">
                  <w:pPr>
                    <w:rPr>
                      <w:sz w:val="16"/>
                      <w:szCs w:val="16"/>
                    </w:rPr>
                  </w:pPr>
                  <w:r w:rsidRPr="00044F14">
                    <w:rPr>
                      <w:sz w:val="16"/>
                      <w:szCs w:val="16"/>
                    </w:rPr>
                    <w:t>Use commas to demarcate adverbs</w:t>
                  </w:r>
                </w:p>
                <w:p w14:paraId="3435F40E" w14:textId="77777777" w:rsidR="00E64184" w:rsidRPr="00044F14" w:rsidRDefault="00E64184" w:rsidP="00E64184">
                  <w:pPr>
                    <w:rPr>
                      <w:sz w:val="16"/>
                      <w:szCs w:val="16"/>
                    </w:rPr>
                  </w:pPr>
                  <w:r w:rsidRPr="00044F14">
                    <w:rPr>
                      <w:sz w:val="16"/>
                      <w:szCs w:val="16"/>
                    </w:rPr>
                    <w:t>Use inverted commas for direct speech</w:t>
                  </w:r>
                </w:p>
              </w:tc>
              <w:tc>
                <w:tcPr>
                  <w:tcW w:w="907" w:type="dxa"/>
                </w:tcPr>
                <w:p w14:paraId="14E08578" w14:textId="77777777" w:rsidR="00E64184" w:rsidRPr="00044F14" w:rsidRDefault="00E64184" w:rsidP="00E64184">
                  <w:pPr>
                    <w:rPr>
                      <w:sz w:val="16"/>
                      <w:szCs w:val="16"/>
                    </w:rPr>
                  </w:pPr>
                  <w:proofErr w:type="spellStart"/>
                  <w:r w:rsidRPr="00044F14">
                    <w:rPr>
                      <w:sz w:val="16"/>
                      <w:szCs w:val="16"/>
                    </w:rPr>
                    <w:t>ue</w:t>
                  </w:r>
                  <w:proofErr w:type="spellEnd"/>
                </w:p>
                <w:p w14:paraId="046D11E8" w14:textId="77777777" w:rsidR="00E64184" w:rsidRPr="00044F14" w:rsidRDefault="00E64184" w:rsidP="00E64184">
                  <w:pPr>
                    <w:rPr>
                      <w:sz w:val="16"/>
                      <w:szCs w:val="16"/>
                    </w:rPr>
                  </w:pPr>
                  <w:proofErr w:type="spellStart"/>
                  <w:r w:rsidRPr="00044F14">
                    <w:rPr>
                      <w:sz w:val="16"/>
                      <w:szCs w:val="16"/>
                    </w:rPr>
                    <w:t>oe</w:t>
                  </w:r>
                  <w:proofErr w:type="spellEnd"/>
                </w:p>
                <w:p w14:paraId="6754A56E" w14:textId="77777777" w:rsidR="00E64184" w:rsidRPr="00044F14" w:rsidRDefault="00E64184" w:rsidP="00E64184">
                  <w:pPr>
                    <w:rPr>
                      <w:sz w:val="16"/>
                      <w:szCs w:val="16"/>
                    </w:rPr>
                  </w:pPr>
                  <w:proofErr w:type="spellStart"/>
                  <w:r w:rsidRPr="00044F14">
                    <w:rPr>
                      <w:sz w:val="16"/>
                      <w:szCs w:val="16"/>
                    </w:rPr>
                    <w:t>ew</w:t>
                  </w:r>
                  <w:proofErr w:type="spellEnd"/>
                </w:p>
                <w:p w14:paraId="355B56FC" w14:textId="77777777" w:rsidR="00E64184" w:rsidRPr="00044F14" w:rsidRDefault="00E64184" w:rsidP="00E64184">
                  <w:pPr>
                    <w:rPr>
                      <w:sz w:val="16"/>
                      <w:szCs w:val="16"/>
                    </w:rPr>
                  </w:pPr>
                  <w:r w:rsidRPr="00044F14">
                    <w:rPr>
                      <w:sz w:val="16"/>
                      <w:szCs w:val="16"/>
                    </w:rPr>
                    <w:t>au</w:t>
                  </w:r>
                </w:p>
                <w:p w14:paraId="0C24DC37" w14:textId="77777777" w:rsidR="00E64184" w:rsidRPr="00044F14" w:rsidRDefault="00E64184" w:rsidP="00E64184">
                  <w:pPr>
                    <w:rPr>
                      <w:sz w:val="16"/>
                      <w:szCs w:val="16"/>
                    </w:rPr>
                  </w:pPr>
                  <w:proofErr w:type="spellStart"/>
                  <w:r w:rsidRPr="00044F14">
                    <w:rPr>
                      <w:sz w:val="16"/>
                      <w:szCs w:val="16"/>
                    </w:rPr>
                    <w:t>u_e</w:t>
                  </w:r>
                  <w:proofErr w:type="spellEnd"/>
                </w:p>
                <w:p w14:paraId="7D20D536" w14:textId="77777777" w:rsidR="00E64184" w:rsidRPr="00044F14" w:rsidRDefault="00E64184" w:rsidP="00E64184">
                  <w:pPr>
                    <w:rPr>
                      <w:sz w:val="16"/>
                      <w:szCs w:val="16"/>
                    </w:rPr>
                  </w:pPr>
                  <w:proofErr w:type="spellStart"/>
                  <w:r w:rsidRPr="00044F14">
                    <w:rPr>
                      <w:sz w:val="16"/>
                      <w:szCs w:val="16"/>
                    </w:rPr>
                    <w:t>e_e</w:t>
                  </w:r>
                  <w:proofErr w:type="spellEnd"/>
                </w:p>
                <w:p w14:paraId="6FA07166" w14:textId="77777777" w:rsidR="00E64184" w:rsidRPr="00044F14" w:rsidRDefault="00E64184" w:rsidP="00E64184">
                  <w:pPr>
                    <w:rPr>
                      <w:sz w:val="16"/>
                      <w:szCs w:val="16"/>
                    </w:rPr>
                  </w:pPr>
                  <w:proofErr w:type="spellStart"/>
                  <w:r w:rsidRPr="00044F14">
                    <w:rPr>
                      <w:sz w:val="16"/>
                      <w:szCs w:val="16"/>
                    </w:rPr>
                    <w:t>wh</w:t>
                  </w:r>
                  <w:proofErr w:type="spellEnd"/>
                </w:p>
                <w:p w14:paraId="792B4EC3" w14:textId="77777777" w:rsidR="00E64184" w:rsidRPr="00044F14" w:rsidRDefault="00E64184" w:rsidP="00E64184">
                  <w:pPr>
                    <w:rPr>
                      <w:sz w:val="16"/>
                      <w:szCs w:val="16"/>
                    </w:rPr>
                  </w:pPr>
                  <w:r w:rsidRPr="00044F14">
                    <w:rPr>
                      <w:sz w:val="16"/>
                      <w:szCs w:val="16"/>
                    </w:rPr>
                    <w:t>ear</w:t>
                  </w:r>
                </w:p>
                <w:p w14:paraId="0D7980A9" w14:textId="77777777" w:rsidR="00E64184" w:rsidRPr="00044F14" w:rsidRDefault="00E64184" w:rsidP="00E64184">
                  <w:pPr>
                    <w:rPr>
                      <w:sz w:val="16"/>
                      <w:szCs w:val="16"/>
                    </w:rPr>
                  </w:pPr>
                  <w:proofErr w:type="spellStart"/>
                  <w:r w:rsidRPr="00044F14">
                    <w:rPr>
                      <w:sz w:val="16"/>
                      <w:szCs w:val="16"/>
                    </w:rPr>
                    <w:t>ure</w:t>
                  </w:r>
                  <w:proofErr w:type="spellEnd"/>
                </w:p>
                <w:p w14:paraId="09498394" w14:textId="77777777" w:rsidR="00E64184" w:rsidRPr="00044F14" w:rsidRDefault="00E64184" w:rsidP="00E64184">
                  <w:pPr>
                    <w:rPr>
                      <w:sz w:val="16"/>
                      <w:szCs w:val="16"/>
                    </w:rPr>
                  </w:pPr>
                  <w:proofErr w:type="spellStart"/>
                  <w:r w:rsidRPr="00044F14">
                    <w:rPr>
                      <w:sz w:val="16"/>
                      <w:szCs w:val="16"/>
                    </w:rPr>
                    <w:t>pt</w:t>
                  </w:r>
                  <w:proofErr w:type="spellEnd"/>
                </w:p>
                <w:p w14:paraId="6449705F" w14:textId="77777777" w:rsidR="00E64184" w:rsidRPr="00044F14" w:rsidRDefault="00E64184" w:rsidP="00E64184">
                  <w:pPr>
                    <w:rPr>
                      <w:sz w:val="16"/>
                      <w:szCs w:val="16"/>
                    </w:rPr>
                  </w:pPr>
                  <w:proofErr w:type="spellStart"/>
                  <w:r w:rsidRPr="00044F14">
                    <w:rPr>
                      <w:sz w:val="16"/>
                      <w:szCs w:val="16"/>
                    </w:rPr>
                    <w:t>nk</w:t>
                  </w:r>
                  <w:proofErr w:type="spellEnd"/>
                </w:p>
                <w:p w14:paraId="7068E1C6" w14:textId="77777777" w:rsidR="00E64184" w:rsidRPr="00044F14" w:rsidRDefault="00E64184" w:rsidP="00E64184">
                  <w:pPr>
                    <w:rPr>
                      <w:sz w:val="16"/>
                      <w:szCs w:val="16"/>
                    </w:rPr>
                  </w:pPr>
                  <w:proofErr w:type="spellStart"/>
                  <w:r w:rsidRPr="00044F14">
                    <w:rPr>
                      <w:sz w:val="16"/>
                      <w:szCs w:val="16"/>
                    </w:rPr>
                    <w:t>ur</w:t>
                  </w:r>
                  <w:proofErr w:type="spellEnd"/>
                </w:p>
              </w:tc>
              <w:tc>
                <w:tcPr>
                  <w:tcW w:w="1718" w:type="dxa"/>
                </w:tcPr>
                <w:p w14:paraId="02AA4D0A" w14:textId="77777777" w:rsidR="00E64184" w:rsidRPr="00044F14" w:rsidRDefault="00E64184" w:rsidP="00E64184">
                  <w:pPr>
                    <w:rPr>
                      <w:sz w:val="16"/>
                      <w:szCs w:val="16"/>
                    </w:rPr>
                  </w:pPr>
                  <w:r w:rsidRPr="00044F14">
                    <w:rPr>
                      <w:sz w:val="16"/>
                      <w:szCs w:val="16"/>
                    </w:rPr>
                    <w:t>Skim short passages to retrieve information 21%</w:t>
                  </w:r>
                </w:p>
                <w:p w14:paraId="5A5A1F85" w14:textId="77777777" w:rsidR="00E64184" w:rsidRPr="00044F14" w:rsidRDefault="00E64184" w:rsidP="00E64184">
                  <w:pPr>
                    <w:rPr>
                      <w:sz w:val="16"/>
                      <w:szCs w:val="16"/>
                    </w:rPr>
                  </w:pPr>
                  <w:r w:rsidRPr="00044F14">
                    <w:rPr>
                      <w:sz w:val="16"/>
                      <w:szCs w:val="16"/>
                    </w:rPr>
                    <w:t>Identify the author’s purpose for writing 12%</w:t>
                  </w:r>
                </w:p>
                <w:p w14:paraId="4E781592" w14:textId="77777777" w:rsidR="00E64184" w:rsidRPr="00044F14" w:rsidRDefault="00E64184" w:rsidP="00E64184">
                  <w:pPr>
                    <w:rPr>
                      <w:sz w:val="16"/>
                      <w:szCs w:val="16"/>
                    </w:rPr>
                  </w:pPr>
                  <w:r w:rsidRPr="00044F14">
                    <w:rPr>
                      <w:sz w:val="16"/>
                      <w:szCs w:val="16"/>
                    </w:rPr>
                    <w:t>Summarise main points from a passage19%</w:t>
                  </w:r>
                </w:p>
                <w:p w14:paraId="6FE0743A" w14:textId="77777777" w:rsidR="00E64184" w:rsidRPr="00044F14" w:rsidRDefault="00E64184" w:rsidP="00E64184">
                  <w:pPr>
                    <w:rPr>
                      <w:sz w:val="16"/>
                      <w:szCs w:val="16"/>
                    </w:rPr>
                  </w:pPr>
                  <w:r w:rsidRPr="00044F14">
                    <w:rPr>
                      <w:sz w:val="16"/>
                      <w:szCs w:val="16"/>
                    </w:rPr>
                    <w:t>Explain and justify character actions using evidence from a text 28%</w:t>
                  </w:r>
                </w:p>
              </w:tc>
            </w:tr>
          </w:tbl>
          <w:p w14:paraId="42153C13" w14:textId="77777777" w:rsidR="00E64184" w:rsidRPr="008012B1" w:rsidRDefault="00E64184" w:rsidP="008012B1">
            <w:pPr>
              <w:rPr>
                <w:sz w:val="20"/>
                <w:szCs w:val="20"/>
              </w:rPr>
            </w:pPr>
          </w:p>
        </w:tc>
        <w:tc>
          <w:tcPr>
            <w:tcW w:w="1244" w:type="dxa"/>
            <w:vMerge w:val="restart"/>
          </w:tcPr>
          <w:p w14:paraId="43AE80C4" w14:textId="77777777" w:rsidR="00E64184" w:rsidRPr="00DC6DCF" w:rsidRDefault="00710CBF" w:rsidP="00E64184">
            <w:pPr>
              <w:rPr>
                <w:sz w:val="20"/>
                <w:szCs w:val="20"/>
              </w:rPr>
            </w:pPr>
            <w:r>
              <w:rPr>
                <w:sz w:val="20"/>
                <w:szCs w:val="20"/>
              </w:rPr>
              <w:lastRenderedPageBreak/>
              <w:t>£11,961</w:t>
            </w:r>
          </w:p>
        </w:tc>
      </w:tr>
      <w:tr w:rsidR="00E64184" w14:paraId="76C3C3AC" w14:textId="77777777" w:rsidTr="0097747F">
        <w:trPr>
          <w:trHeight w:val="2177"/>
        </w:trPr>
        <w:tc>
          <w:tcPr>
            <w:tcW w:w="1950" w:type="dxa"/>
            <w:vMerge/>
          </w:tcPr>
          <w:p w14:paraId="3497811A" w14:textId="77777777" w:rsidR="00E64184" w:rsidRPr="00DC6DCF" w:rsidRDefault="00E64184" w:rsidP="00E64184">
            <w:pPr>
              <w:rPr>
                <w:sz w:val="20"/>
                <w:szCs w:val="20"/>
              </w:rPr>
            </w:pPr>
          </w:p>
        </w:tc>
        <w:tc>
          <w:tcPr>
            <w:tcW w:w="7274" w:type="dxa"/>
          </w:tcPr>
          <w:p w14:paraId="33409AC9" w14:textId="77777777" w:rsidR="00E64184" w:rsidRDefault="00E64184" w:rsidP="00E64184">
            <w:pPr>
              <w:rPr>
                <w:sz w:val="20"/>
                <w:szCs w:val="20"/>
              </w:rPr>
            </w:pPr>
            <w:bookmarkStart w:id="1" w:name="_Hlk57042748"/>
            <w:r>
              <w:rPr>
                <w:sz w:val="20"/>
                <w:szCs w:val="20"/>
              </w:rPr>
              <w:t>How:</w:t>
            </w:r>
          </w:p>
          <w:p w14:paraId="507EF0C7" w14:textId="77777777" w:rsidR="00E64184" w:rsidRPr="00DC6DCF" w:rsidRDefault="00E64184" w:rsidP="00E64184">
            <w:pPr>
              <w:rPr>
                <w:sz w:val="20"/>
                <w:szCs w:val="20"/>
              </w:rPr>
            </w:pPr>
            <w:r w:rsidRPr="00DC6DCF">
              <w:rPr>
                <w:sz w:val="20"/>
                <w:szCs w:val="20"/>
              </w:rPr>
              <w:t>Use existing expertise amongst staff to create a 3</w:t>
            </w:r>
            <w:r>
              <w:rPr>
                <w:sz w:val="20"/>
                <w:szCs w:val="20"/>
              </w:rPr>
              <w:t>-</w:t>
            </w:r>
            <w:r w:rsidRPr="00DC6DCF">
              <w:rPr>
                <w:sz w:val="20"/>
                <w:szCs w:val="20"/>
              </w:rPr>
              <w:t>way split for the year group.</w:t>
            </w:r>
          </w:p>
          <w:p w14:paraId="30E7E161" w14:textId="77777777" w:rsidR="00E64184" w:rsidRPr="00DC6DCF" w:rsidRDefault="005D6767" w:rsidP="00E64184">
            <w:pPr>
              <w:rPr>
                <w:sz w:val="20"/>
                <w:szCs w:val="20"/>
              </w:rPr>
            </w:pPr>
            <w:r>
              <w:rPr>
                <w:sz w:val="20"/>
                <w:szCs w:val="20"/>
              </w:rPr>
              <w:t>Providing additional hours to</w:t>
            </w:r>
            <w:r w:rsidR="00E64184" w:rsidRPr="00DC6DCF">
              <w:rPr>
                <w:sz w:val="20"/>
                <w:szCs w:val="20"/>
              </w:rPr>
              <w:t xml:space="preserve"> enable this to happen while maintaining school </w:t>
            </w:r>
            <w:proofErr w:type="spellStart"/>
            <w:r w:rsidR="00E64184" w:rsidRPr="00DC6DCF">
              <w:rPr>
                <w:sz w:val="20"/>
                <w:szCs w:val="20"/>
              </w:rPr>
              <w:t>Covid</w:t>
            </w:r>
            <w:proofErr w:type="spellEnd"/>
            <w:r w:rsidR="00E64184" w:rsidRPr="00DC6DCF">
              <w:rPr>
                <w:sz w:val="20"/>
                <w:szCs w:val="20"/>
              </w:rPr>
              <w:t xml:space="preserve"> protocols and covering EHCP allocated hours. </w:t>
            </w:r>
          </w:p>
          <w:p w14:paraId="4ABE0CF8" w14:textId="77777777" w:rsidR="00E64184" w:rsidRPr="00DC6DCF" w:rsidRDefault="00E64184" w:rsidP="00E64184">
            <w:pPr>
              <w:pStyle w:val="ListParagraph"/>
              <w:numPr>
                <w:ilvl w:val="0"/>
                <w:numId w:val="2"/>
              </w:numPr>
              <w:rPr>
                <w:sz w:val="20"/>
                <w:szCs w:val="20"/>
              </w:rPr>
            </w:pPr>
            <w:r w:rsidRPr="00DC6DCF">
              <w:rPr>
                <w:sz w:val="20"/>
                <w:szCs w:val="20"/>
              </w:rPr>
              <w:t>Reading and English lessons split 3 ways to enable focus on targeted pupils.</w:t>
            </w:r>
          </w:p>
          <w:p w14:paraId="780471EA" w14:textId="77777777" w:rsidR="00E64184" w:rsidRPr="00DC6DCF" w:rsidRDefault="00E64184" w:rsidP="00E64184">
            <w:pPr>
              <w:pStyle w:val="ListParagraph"/>
              <w:numPr>
                <w:ilvl w:val="0"/>
                <w:numId w:val="2"/>
              </w:numPr>
              <w:rPr>
                <w:sz w:val="20"/>
                <w:szCs w:val="20"/>
              </w:rPr>
            </w:pPr>
            <w:r w:rsidRPr="00DC6DCF">
              <w:rPr>
                <w:sz w:val="20"/>
                <w:szCs w:val="20"/>
              </w:rPr>
              <w:t>Additional TA used to focus on targeted pupils in class.</w:t>
            </w:r>
          </w:p>
          <w:p w14:paraId="5D930675" w14:textId="77777777" w:rsidR="00E64184" w:rsidRPr="00DC6DCF" w:rsidRDefault="00E64184" w:rsidP="00E64184">
            <w:pPr>
              <w:pStyle w:val="ListParagraph"/>
              <w:numPr>
                <w:ilvl w:val="0"/>
                <w:numId w:val="2"/>
              </w:numPr>
              <w:rPr>
                <w:sz w:val="20"/>
                <w:szCs w:val="20"/>
              </w:rPr>
            </w:pPr>
            <w:r w:rsidRPr="00DC6DCF">
              <w:rPr>
                <w:sz w:val="20"/>
                <w:szCs w:val="20"/>
              </w:rPr>
              <w:t>Additional TA time in afternoons to be used to focus on reading and with other key tasks</w:t>
            </w:r>
            <w:r>
              <w:rPr>
                <w:sz w:val="20"/>
                <w:szCs w:val="20"/>
              </w:rPr>
              <w:t xml:space="preserve"> and interventions</w:t>
            </w:r>
            <w:r w:rsidRPr="00DC6DCF">
              <w:rPr>
                <w:sz w:val="20"/>
                <w:szCs w:val="20"/>
              </w:rPr>
              <w:t xml:space="preserve"> as directed by the class teacher</w:t>
            </w:r>
            <w:bookmarkEnd w:id="1"/>
            <w:r>
              <w:rPr>
                <w:sz w:val="20"/>
                <w:szCs w:val="20"/>
              </w:rPr>
              <w:t>, on a continuous review basis. Some time will be allocated to pre/post teaching as required.</w:t>
            </w:r>
          </w:p>
        </w:tc>
        <w:tc>
          <w:tcPr>
            <w:tcW w:w="1244" w:type="dxa"/>
            <w:vMerge/>
          </w:tcPr>
          <w:p w14:paraId="6C6B986F" w14:textId="77777777" w:rsidR="00E64184" w:rsidRPr="00DC6DCF" w:rsidRDefault="00E64184" w:rsidP="00E64184">
            <w:pPr>
              <w:rPr>
                <w:sz w:val="20"/>
                <w:szCs w:val="20"/>
              </w:rPr>
            </w:pPr>
          </w:p>
        </w:tc>
      </w:tr>
      <w:tr w:rsidR="00E64184" w14:paraId="52E55148" w14:textId="77777777" w:rsidTr="00EE3CCB">
        <w:trPr>
          <w:trHeight w:val="1057"/>
        </w:trPr>
        <w:tc>
          <w:tcPr>
            <w:tcW w:w="1950" w:type="dxa"/>
            <w:vMerge/>
          </w:tcPr>
          <w:p w14:paraId="4F36864F" w14:textId="77777777" w:rsidR="00E64184" w:rsidRPr="00DC6DCF" w:rsidRDefault="00E64184" w:rsidP="00E64184">
            <w:pPr>
              <w:rPr>
                <w:sz w:val="20"/>
                <w:szCs w:val="20"/>
              </w:rPr>
            </w:pPr>
          </w:p>
        </w:tc>
        <w:tc>
          <w:tcPr>
            <w:tcW w:w="7274" w:type="dxa"/>
          </w:tcPr>
          <w:p w14:paraId="79CB6308" w14:textId="77777777" w:rsidR="00E64184" w:rsidRDefault="00E64184" w:rsidP="00E64184">
            <w:pPr>
              <w:rPr>
                <w:sz w:val="20"/>
                <w:szCs w:val="20"/>
              </w:rPr>
            </w:pPr>
            <w:r>
              <w:rPr>
                <w:sz w:val="20"/>
                <w:szCs w:val="20"/>
              </w:rPr>
              <w:t>Wider school benefit:</w:t>
            </w:r>
          </w:p>
          <w:p w14:paraId="0AA31E0C" w14:textId="77777777" w:rsidR="00E64184" w:rsidRDefault="00E64184" w:rsidP="00E64184">
            <w:pPr>
              <w:pStyle w:val="ListParagraph"/>
              <w:numPr>
                <w:ilvl w:val="0"/>
                <w:numId w:val="6"/>
              </w:numPr>
              <w:rPr>
                <w:sz w:val="20"/>
                <w:szCs w:val="20"/>
              </w:rPr>
            </w:pPr>
            <w:r>
              <w:rPr>
                <w:sz w:val="20"/>
                <w:szCs w:val="20"/>
              </w:rPr>
              <w:t xml:space="preserve">Staffing already exists to replicate this model in Year 5, both within </w:t>
            </w:r>
            <w:proofErr w:type="spellStart"/>
            <w:r>
              <w:rPr>
                <w:sz w:val="20"/>
                <w:szCs w:val="20"/>
              </w:rPr>
              <w:t>Covid</w:t>
            </w:r>
            <w:proofErr w:type="spellEnd"/>
            <w:r>
              <w:rPr>
                <w:sz w:val="20"/>
                <w:szCs w:val="20"/>
              </w:rPr>
              <w:t xml:space="preserve"> bubble set up, and on a longer-term basis with ARP reintegration.</w:t>
            </w:r>
          </w:p>
          <w:p w14:paraId="2EC47AD1" w14:textId="77777777" w:rsidR="00E64184" w:rsidRPr="00EE3CCB" w:rsidRDefault="00E64184" w:rsidP="00E64184">
            <w:pPr>
              <w:pStyle w:val="ListParagraph"/>
              <w:numPr>
                <w:ilvl w:val="0"/>
                <w:numId w:val="6"/>
              </w:numPr>
              <w:rPr>
                <w:sz w:val="20"/>
                <w:szCs w:val="20"/>
              </w:rPr>
            </w:pPr>
            <w:r>
              <w:rPr>
                <w:sz w:val="20"/>
                <w:szCs w:val="20"/>
              </w:rPr>
              <w:t xml:space="preserve">Best practice will be shared and inform practice around the school. </w:t>
            </w:r>
          </w:p>
        </w:tc>
        <w:tc>
          <w:tcPr>
            <w:tcW w:w="1244" w:type="dxa"/>
            <w:vMerge/>
          </w:tcPr>
          <w:p w14:paraId="42A87034" w14:textId="77777777" w:rsidR="00E64184" w:rsidRPr="00DC6DCF" w:rsidRDefault="00E64184" w:rsidP="00E64184">
            <w:pPr>
              <w:rPr>
                <w:sz w:val="20"/>
                <w:szCs w:val="20"/>
              </w:rPr>
            </w:pPr>
          </w:p>
        </w:tc>
      </w:tr>
      <w:tr w:rsidR="00E64184" w14:paraId="49501BBA" w14:textId="77777777" w:rsidTr="00E2096F">
        <w:trPr>
          <w:trHeight w:val="274"/>
        </w:trPr>
        <w:tc>
          <w:tcPr>
            <w:tcW w:w="10468" w:type="dxa"/>
            <w:gridSpan w:val="3"/>
          </w:tcPr>
          <w:p w14:paraId="426C218E" w14:textId="77777777" w:rsidR="00E64184" w:rsidRPr="00DC6DCF" w:rsidRDefault="00E64184" w:rsidP="00E64184">
            <w:pPr>
              <w:jc w:val="center"/>
              <w:rPr>
                <w:sz w:val="20"/>
                <w:szCs w:val="20"/>
              </w:rPr>
            </w:pPr>
            <w:r w:rsidRPr="00DC6DCF">
              <w:rPr>
                <w:sz w:val="20"/>
                <w:szCs w:val="20"/>
              </w:rPr>
              <w:t>Additional measures</w:t>
            </w:r>
          </w:p>
        </w:tc>
      </w:tr>
      <w:tr w:rsidR="00E64184" w14:paraId="3F94C349" w14:textId="77777777" w:rsidTr="0097747F">
        <w:trPr>
          <w:trHeight w:val="1802"/>
        </w:trPr>
        <w:tc>
          <w:tcPr>
            <w:tcW w:w="1950" w:type="dxa"/>
            <w:shd w:val="clear" w:color="auto" w:fill="F2F2F2" w:themeFill="background1" w:themeFillShade="F2"/>
          </w:tcPr>
          <w:p w14:paraId="214491ED" w14:textId="77777777" w:rsidR="00E64184" w:rsidRPr="00DC6DCF" w:rsidRDefault="00E64184" w:rsidP="00E64184">
            <w:pPr>
              <w:rPr>
                <w:sz w:val="20"/>
                <w:szCs w:val="20"/>
              </w:rPr>
            </w:pPr>
            <w:r w:rsidRPr="00DC6DCF">
              <w:rPr>
                <w:sz w:val="20"/>
                <w:szCs w:val="20"/>
              </w:rPr>
              <w:t>Curriculum adapted to address gaps and focus on key skills</w:t>
            </w:r>
          </w:p>
        </w:tc>
        <w:tc>
          <w:tcPr>
            <w:tcW w:w="7274" w:type="dxa"/>
            <w:shd w:val="clear" w:color="auto" w:fill="F2F2F2" w:themeFill="background1" w:themeFillShade="F2"/>
          </w:tcPr>
          <w:p w14:paraId="5E9F0564" w14:textId="4FBF2521" w:rsidR="00E64184" w:rsidRPr="00DC6DCF" w:rsidRDefault="00E64184" w:rsidP="00E64184">
            <w:pPr>
              <w:rPr>
                <w:sz w:val="20"/>
                <w:szCs w:val="20"/>
              </w:rPr>
            </w:pPr>
            <w:r w:rsidRPr="00DC6DCF">
              <w:rPr>
                <w:sz w:val="20"/>
                <w:szCs w:val="20"/>
              </w:rPr>
              <w:t xml:space="preserve">Restorative Curriculum developed </w:t>
            </w:r>
            <w:r w:rsidR="00851152">
              <w:rPr>
                <w:sz w:val="20"/>
                <w:szCs w:val="20"/>
              </w:rPr>
              <w:t>in Summer Term 2020 in o</w:t>
            </w:r>
            <w:r w:rsidRPr="00DC6DCF">
              <w:rPr>
                <w:sz w:val="20"/>
                <w:szCs w:val="20"/>
              </w:rPr>
              <w:t>rder to allow space to address missed learning.</w:t>
            </w:r>
          </w:p>
          <w:p w14:paraId="159EB46F" w14:textId="77777777" w:rsidR="00E64184" w:rsidRPr="00DC6DCF" w:rsidRDefault="00E64184" w:rsidP="00E64184">
            <w:pPr>
              <w:rPr>
                <w:sz w:val="20"/>
                <w:szCs w:val="20"/>
              </w:rPr>
            </w:pPr>
            <w:r w:rsidRPr="00DC6DCF">
              <w:rPr>
                <w:sz w:val="20"/>
                <w:szCs w:val="20"/>
              </w:rPr>
              <w:t xml:space="preserve">The Restorative Curriculum will include a focus on reading, English, PSHE, maths, science and PE. Topic content will be embedded through these subjects and there will be lots of opportunity for practical learning, enabling the children to access elements of art, D&amp;T, history and geography. </w:t>
            </w:r>
          </w:p>
        </w:tc>
        <w:tc>
          <w:tcPr>
            <w:tcW w:w="1244" w:type="dxa"/>
            <w:shd w:val="clear" w:color="auto" w:fill="F2F2F2" w:themeFill="background1" w:themeFillShade="F2"/>
          </w:tcPr>
          <w:p w14:paraId="047CB768" w14:textId="77777777" w:rsidR="00E64184" w:rsidRPr="00DC6DCF" w:rsidRDefault="00E64184" w:rsidP="00E64184">
            <w:pPr>
              <w:rPr>
                <w:sz w:val="20"/>
                <w:szCs w:val="20"/>
              </w:rPr>
            </w:pPr>
          </w:p>
        </w:tc>
      </w:tr>
      <w:tr w:rsidR="00E64184" w14:paraId="66D426C8" w14:textId="77777777" w:rsidTr="0097747F">
        <w:trPr>
          <w:trHeight w:val="553"/>
        </w:trPr>
        <w:tc>
          <w:tcPr>
            <w:tcW w:w="1950" w:type="dxa"/>
            <w:shd w:val="clear" w:color="auto" w:fill="F2F2F2" w:themeFill="background1" w:themeFillShade="F2"/>
          </w:tcPr>
          <w:p w14:paraId="49148B54" w14:textId="77777777" w:rsidR="00E64184" w:rsidRPr="00DC6DCF" w:rsidRDefault="00E64184" w:rsidP="00E64184">
            <w:pPr>
              <w:rPr>
                <w:sz w:val="20"/>
                <w:szCs w:val="20"/>
              </w:rPr>
            </w:pPr>
            <w:r w:rsidRPr="00DC6DCF">
              <w:rPr>
                <w:sz w:val="20"/>
                <w:szCs w:val="20"/>
              </w:rPr>
              <w:t>Concern for wellbeing of pupils returning to school after a long gap</w:t>
            </w:r>
          </w:p>
        </w:tc>
        <w:tc>
          <w:tcPr>
            <w:tcW w:w="7274" w:type="dxa"/>
            <w:shd w:val="clear" w:color="auto" w:fill="F2F2F2" w:themeFill="background1" w:themeFillShade="F2"/>
          </w:tcPr>
          <w:p w14:paraId="3431FE1E" w14:textId="77777777" w:rsidR="00E64184" w:rsidRPr="00DC6DCF" w:rsidRDefault="00E64184" w:rsidP="00E64184">
            <w:pPr>
              <w:rPr>
                <w:sz w:val="20"/>
                <w:szCs w:val="20"/>
              </w:rPr>
            </w:pPr>
            <w:r w:rsidRPr="00DC6DCF">
              <w:rPr>
                <w:sz w:val="20"/>
                <w:szCs w:val="20"/>
              </w:rPr>
              <w:t xml:space="preserve">Wellbeing catch-up phone calls with families in September to discuss pupil wellbeing and support. </w:t>
            </w:r>
          </w:p>
        </w:tc>
        <w:tc>
          <w:tcPr>
            <w:tcW w:w="1244" w:type="dxa"/>
            <w:shd w:val="clear" w:color="auto" w:fill="F2F2F2" w:themeFill="background1" w:themeFillShade="F2"/>
          </w:tcPr>
          <w:p w14:paraId="7CEE8E40" w14:textId="77777777" w:rsidR="00E64184" w:rsidRPr="00DC6DCF" w:rsidRDefault="00E64184" w:rsidP="00E64184">
            <w:pPr>
              <w:rPr>
                <w:sz w:val="20"/>
                <w:szCs w:val="20"/>
              </w:rPr>
            </w:pPr>
          </w:p>
        </w:tc>
      </w:tr>
      <w:tr w:rsidR="00E64184" w14:paraId="0FFD1994" w14:textId="77777777" w:rsidTr="0097747F">
        <w:trPr>
          <w:trHeight w:val="1983"/>
        </w:trPr>
        <w:tc>
          <w:tcPr>
            <w:tcW w:w="1950" w:type="dxa"/>
            <w:shd w:val="clear" w:color="auto" w:fill="F2F2F2" w:themeFill="background1" w:themeFillShade="F2"/>
          </w:tcPr>
          <w:p w14:paraId="73E0B878" w14:textId="77777777" w:rsidR="00E64184" w:rsidRPr="00DC6DCF" w:rsidRDefault="00E64184" w:rsidP="00E64184">
            <w:pPr>
              <w:rPr>
                <w:sz w:val="20"/>
                <w:szCs w:val="20"/>
              </w:rPr>
            </w:pPr>
            <w:r w:rsidRPr="00DC6DCF">
              <w:rPr>
                <w:sz w:val="20"/>
                <w:szCs w:val="20"/>
              </w:rPr>
              <w:t xml:space="preserve">Reading fluency has dipped across the school </w:t>
            </w:r>
          </w:p>
          <w:p w14:paraId="0F11D06D" w14:textId="77777777" w:rsidR="00E64184" w:rsidRPr="00DC6DCF" w:rsidRDefault="00E64184" w:rsidP="00E64184">
            <w:pPr>
              <w:rPr>
                <w:sz w:val="20"/>
                <w:szCs w:val="20"/>
              </w:rPr>
            </w:pPr>
          </w:p>
        </w:tc>
        <w:tc>
          <w:tcPr>
            <w:tcW w:w="7274" w:type="dxa"/>
            <w:shd w:val="clear" w:color="auto" w:fill="F2F2F2" w:themeFill="background1" w:themeFillShade="F2"/>
          </w:tcPr>
          <w:p w14:paraId="3975B0C0" w14:textId="77777777" w:rsidR="00E64184" w:rsidRPr="00DC6DCF" w:rsidRDefault="00E64184" w:rsidP="00E64184">
            <w:pPr>
              <w:rPr>
                <w:sz w:val="20"/>
                <w:szCs w:val="20"/>
              </w:rPr>
            </w:pPr>
            <w:r w:rsidRPr="00DC6DCF">
              <w:rPr>
                <w:sz w:val="20"/>
                <w:szCs w:val="20"/>
              </w:rPr>
              <w:t>‘Cherry leaves’ after school reading provision set up for children a year below the level they should be reading at, targeting PP pupils and including others.</w:t>
            </w:r>
          </w:p>
          <w:p w14:paraId="730A96B4" w14:textId="77777777" w:rsidR="00E64184" w:rsidRPr="00DC6DCF" w:rsidRDefault="00E64184" w:rsidP="00E64184">
            <w:pPr>
              <w:rPr>
                <w:sz w:val="20"/>
                <w:szCs w:val="20"/>
              </w:rPr>
            </w:pPr>
          </w:p>
          <w:p w14:paraId="7844793D" w14:textId="77777777" w:rsidR="00E64184" w:rsidRPr="00DC6DCF" w:rsidRDefault="00E64184" w:rsidP="00E64184">
            <w:pPr>
              <w:rPr>
                <w:sz w:val="20"/>
                <w:szCs w:val="20"/>
              </w:rPr>
            </w:pPr>
            <w:r w:rsidRPr="00DC6DCF">
              <w:rPr>
                <w:sz w:val="20"/>
                <w:szCs w:val="20"/>
              </w:rPr>
              <w:t>Class reading libraries modernised.</w:t>
            </w:r>
          </w:p>
          <w:p w14:paraId="75EC111E" w14:textId="77777777" w:rsidR="00E64184" w:rsidRPr="00DC6DCF" w:rsidRDefault="00E64184" w:rsidP="00E64184">
            <w:pPr>
              <w:rPr>
                <w:sz w:val="20"/>
                <w:szCs w:val="20"/>
              </w:rPr>
            </w:pPr>
          </w:p>
          <w:p w14:paraId="7C59A4C1" w14:textId="77777777" w:rsidR="00E64184" w:rsidRPr="00DC6DCF" w:rsidRDefault="00E64184" w:rsidP="00E64184">
            <w:pPr>
              <w:rPr>
                <w:sz w:val="20"/>
                <w:szCs w:val="20"/>
              </w:rPr>
            </w:pPr>
            <w:r w:rsidRPr="00DC6DCF">
              <w:rPr>
                <w:sz w:val="20"/>
                <w:szCs w:val="20"/>
              </w:rPr>
              <w:t>Extended lower levels of Big Cat scheme purchased to address need.</w:t>
            </w:r>
          </w:p>
        </w:tc>
        <w:tc>
          <w:tcPr>
            <w:tcW w:w="1244" w:type="dxa"/>
            <w:shd w:val="clear" w:color="auto" w:fill="F2F2F2" w:themeFill="background1" w:themeFillShade="F2"/>
          </w:tcPr>
          <w:p w14:paraId="16127FDE" w14:textId="77777777" w:rsidR="00E64184" w:rsidRPr="00DC6DCF" w:rsidRDefault="00E64184" w:rsidP="00E64184">
            <w:pPr>
              <w:rPr>
                <w:sz w:val="20"/>
                <w:szCs w:val="20"/>
              </w:rPr>
            </w:pPr>
            <w:r w:rsidRPr="00DC6DCF">
              <w:rPr>
                <w:sz w:val="20"/>
                <w:szCs w:val="20"/>
              </w:rPr>
              <w:t>PP funded</w:t>
            </w:r>
          </w:p>
          <w:p w14:paraId="5EC035F2" w14:textId="77777777" w:rsidR="00E64184" w:rsidRPr="00DC6DCF" w:rsidRDefault="00E64184" w:rsidP="00E64184">
            <w:pPr>
              <w:rPr>
                <w:sz w:val="20"/>
                <w:szCs w:val="20"/>
              </w:rPr>
            </w:pPr>
          </w:p>
          <w:p w14:paraId="0EE27E00" w14:textId="77777777" w:rsidR="00E64184" w:rsidRPr="00DC6DCF" w:rsidRDefault="00E64184" w:rsidP="00E64184">
            <w:pPr>
              <w:rPr>
                <w:sz w:val="20"/>
                <w:szCs w:val="20"/>
              </w:rPr>
            </w:pPr>
          </w:p>
          <w:p w14:paraId="22088DDC" w14:textId="77777777" w:rsidR="00E64184" w:rsidRPr="00DC6DCF" w:rsidRDefault="00E64184" w:rsidP="00E64184">
            <w:pPr>
              <w:rPr>
                <w:sz w:val="20"/>
                <w:szCs w:val="20"/>
              </w:rPr>
            </w:pPr>
          </w:p>
          <w:p w14:paraId="3D36EBD1" w14:textId="77777777" w:rsidR="00E64184" w:rsidRPr="00DC6DCF" w:rsidRDefault="00E64184" w:rsidP="00E64184">
            <w:pPr>
              <w:rPr>
                <w:sz w:val="20"/>
                <w:szCs w:val="20"/>
              </w:rPr>
            </w:pPr>
          </w:p>
          <w:p w14:paraId="7F0181EB" w14:textId="77777777" w:rsidR="00E64184" w:rsidRPr="00DC6DCF" w:rsidRDefault="00E64184" w:rsidP="00E64184">
            <w:pPr>
              <w:rPr>
                <w:sz w:val="20"/>
                <w:szCs w:val="20"/>
              </w:rPr>
            </w:pPr>
            <w:r w:rsidRPr="00DC6DCF">
              <w:rPr>
                <w:sz w:val="20"/>
                <w:szCs w:val="20"/>
              </w:rPr>
              <w:t>PTA/school</w:t>
            </w:r>
          </w:p>
          <w:p w14:paraId="77E22222" w14:textId="77777777" w:rsidR="00E64184" w:rsidRPr="00DC6DCF" w:rsidRDefault="00E64184" w:rsidP="00E64184">
            <w:pPr>
              <w:rPr>
                <w:sz w:val="20"/>
                <w:szCs w:val="20"/>
              </w:rPr>
            </w:pPr>
          </w:p>
          <w:p w14:paraId="394465AB" w14:textId="77777777" w:rsidR="00E64184" w:rsidRPr="00DC6DCF" w:rsidRDefault="00E64184" w:rsidP="00E64184">
            <w:pPr>
              <w:rPr>
                <w:sz w:val="20"/>
                <w:szCs w:val="20"/>
              </w:rPr>
            </w:pPr>
            <w:r w:rsidRPr="00DC6DCF">
              <w:rPr>
                <w:sz w:val="20"/>
                <w:szCs w:val="20"/>
              </w:rPr>
              <w:t>School</w:t>
            </w:r>
          </w:p>
        </w:tc>
      </w:tr>
      <w:tr w:rsidR="00E64184" w14:paraId="2B659EAB" w14:textId="77777777" w:rsidTr="0097747F">
        <w:trPr>
          <w:trHeight w:val="799"/>
        </w:trPr>
        <w:tc>
          <w:tcPr>
            <w:tcW w:w="1950" w:type="dxa"/>
            <w:shd w:val="clear" w:color="auto" w:fill="F2F2F2" w:themeFill="background1" w:themeFillShade="F2"/>
          </w:tcPr>
          <w:p w14:paraId="7BCB0F0A" w14:textId="77777777" w:rsidR="00E64184" w:rsidRPr="00DC6DCF" w:rsidRDefault="00E64184" w:rsidP="00E64184">
            <w:pPr>
              <w:rPr>
                <w:sz w:val="20"/>
                <w:szCs w:val="20"/>
              </w:rPr>
            </w:pPr>
            <w:r w:rsidRPr="00DC6DCF">
              <w:rPr>
                <w:sz w:val="20"/>
                <w:szCs w:val="20"/>
              </w:rPr>
              <w:t>Writing levels have dipped across the school</w:t>
            </w:r>
          </w:p>
          <w:p w14:paraId="380CEF64" w14:textId="77777777" w:rsidR="00E64184" w:rsidRPr="00DC6DCF" w:rsidRDefault="00E64184" w:rsidP="00E64184">
            <w:pPr>
              <w:rPr>
                <w:sz w:val="20"/>
                <w:szCs w:val="20"/>
              </w:rPr>
            </w:pPr>
          </w:p>
        </w:tc>
        <w:tc>
          <w:tcPr>
            <w:tcW w:w="7274" w:type="dxa"/>
            <w:shd w:val="clear" w:color="auto" w:fill="F2F2F2" w:themeFill="background1" w:themeFillShade="F2"/>
          </w:tcPr>
          <w:p w14:paraId="63489370" w14:textId="77777777" w:rsidR="00E64184" w:rsidRPr="00DC6DCF" w:rsidRDefault="00E64184" w:rsidP="00E64184">
            <w:pPr>
              <w:rPr>
                <w:sz w:val="20"/>
                <w:szCs w:val="20"/>
              </w:rPr>
            </w:pPr>
            <w:r w:rsidRPr="00DC6DCF">
              <w:rPr>
                <w:sz w:val="20"/>
                <w:szCs w:val="20"/>
              </w:rPr>
              <w:t>Additional staff training around writing linked to: moderation and standardisation, and quality of test models used in line with Bob Cox Opening Doors principles.</w:t>
            </w:r>
          </w:p>
        </w:tc>
        <w:tc>
          <w:tcPr>
            <w:tcW w:w="1244" w:type="dxa"/>
            <w:shd w:val="clear" w:color="auto" w:fill="F2F2F2" w:themeFill="background1" w:themeFillShade="F2"/>
          </w:tcPr>
          <w:p w14:paraId="724D0DCB" w14:textId="77777777" w:rsidR="00E64184" w:rsidRPr="00DC6DCF" w:rsidRDefault="00E64184" w:rsidP="00E64184">
            <w:pPr>
              <w:rPr>
                <w:sz w:val="20"/>
                <w:szCs w:val="20"/>
              </w:rPr>
            </w:pPr>
            <w:r w:rsidRPr="00DC6DCF">
              <w:rPr>
                <w:sz w:val="20"/>
                <w:szCs w:val="20"/>
              </w:rPr>
              <w:t>School</w:t>
            </w:r>
          </w:p>
          <w:p w14:paraId="11172A59" w14:textId="77777777" w:rsidR="00E64184" w:rsidRPr="00DC6DCF" w:rsidRDefault="00E64184" w:rsidP="00E64184">
            <w:pPr>
              <w:rPr>
                <w:sz w:val="20"/>
                <w:szCs w:val="20"/>
              </w:rPr>
            </w:pPr>
          </w:p>
          <w:p w14:paraId="40C046B7" w14:textId="77777777" w:rsidR="00E64184" w:rsidRPr="00DC6DCF" w:rsidRDefault="00E64184" w:rsidP="00E64184">
            <w:pPr>
              <w:rPr>
                <w:sz w:val="20"/>
                <w:szCs w:val="20"/>
              </w:rPr>
            </w:pPr>
            <w:r w:rsidRPr="00DC6DCF">
              <w:rPr>
                <w:sz w:val="20"/>
                <w:szCs w:val="20"/>
              </w:rPr>
              <w:t>PP funding</w:t>
            </w:r>
          </w:p>
        </w:tc>
      </w:tr>
      <w:tr w:rsidR="00E64184" w14:paraId="61966200" w14:textId="77777777" w:rsidTr="0097747F">
        <w:trPr>
          <w:trHeight w:val="541"/>
        </w:trPr>
        <w:tc>
          <w:tcPr>
            <w:tcW w:w="1950" w:type="dxa"/>
            <w:shd w:val="clear" w:color="auto" w:fill="F2F2F2" w:themeFill="background1" w:themeFillShade="F2"/>
          </w:tcPr>
          <w:p w14:paraId="7484C4D5" w14:textId="77777777" w:rsidR="00E64184" w:rsidRPr="00DC6DCF" w:rsidRDefault="00E64184" w:rsidP="00E64184">
            <w:pPr>
              <w:rPr>
                <w:sz w:val="20"/>
                <w:szCs w:val="20"/>
              </w:rPr>
            </w:pPr>
            <w:r w:rsidRPr="00DC6DCF">
              <w:rPr>
                <w:sz w:val="20"/>
                <w:szCs w:val="20"/>
              </w:rPr>
              <w:t>Maintaining high attendance for all pupils is a priority.</w:t>
            </w:r>
          </w:p>
        </w:tc>
        <w:tc>
          <w:tcPr>
            <w:tcW w:w="7274" w:type="dxa"/>
            <w:vMerge w:val="restart"/>
            <w:shd w:val="clear" w:color="auto" w:fill="F2F2F2" w:themeFill="background1" w:themeFillShade="F2"/>
          </w:tcPr>
          <w:p w14:paraId="248020DB" w14:textId="77777777" w:rsidR="00E64184" w:rsidRPr="00DC6DCF" w:rsidRDefault="00E64184" w:rsidP="00E64184">
            <w:pPr>
              <w:rPr>
                <w:sz w:val="20"/>
                <w:szCs w:val="20"/>
              </w:rPr>
            </w:pPr>
            <w:r w:rsidRPr="00DC6DCF">
              <w:rPr>
                <w:sz w:val="20"/>
                <w:szCs w:val="20"/>
              </w:rPr>
              <w:t xml:space="preserve">Family liaison worker employed to maintain links with vulnerable families and develop positive relationships. </w:t>
            </w:r>
          </w:p>
        </w:tc>
        <w:tc>
          <w:tcPr>
            <w:tcW w:w="1244" w:type="dxa"/>
            <w:shd w:val="clear" w:color="auto" w:fill="F2F2F2" w:themeFill="background1" w:themeFillShade="F2"/>
          </w:tcPr>
          <w:p w14:paraId="6279469A" w14:textId="77777777" w:rsidR="00E64184" w:rsidRPr="00DC6DCF" w:rsidRDefault="00E64184" w:rsidP="00E64184">
            <w:pPr>
              <w:rPr>
                <w:sz w:val="20"/>
                <w:szCs w:val="20"/>
              </w:rPr>
            </w:pPr>
            <w:r w:rsidRPr="00DC6DCF">
              <w:rPr>
                <w:sz w:val="20"/>
                <w:szCs w:val="20"/>
              </w:rPr>
              <w:t>PP funding</w:t>
            </w:r>
          </w:p>
        </w:tc>
      </w:tr>
      <w:tr w:rsidR="00E64184" w14:paraId="26C8F06D" w14:textId="77777777" w:rsidTr="0097747F">
        <w:trPr>
          <w:trHeight w:val="735"/>
        </w:trPr>
        <w:tc>
          <w:tcPr>
            <w:tcW w:w="1950" w:type="dxa"/>
            <w:shd w:val="clear" w:color="auto" w:fill="F2F2F2" w:themeFill="background1" w:themeFillShade="F2"/>
          </w:tcPr>
          <w:p w14:paraId="613A94F5" w14:textId="77777777" w:rsidR="00E64184" w:rsidRPr="00DC6DCF" w:rsidRDefault="00E64184" w:rsidP="00E64184">
            <w:pPr>
              <w:rPr>
                <w:sz w:val="20"/>
                <w:szCs w:val="20"/>
              </w:rPr>
            </w:pPr>
            <w:r w:rsidRPr="00DC6DCF">
              <w:rPr>
                <w:sz w:val="20"/>
                <w:szCs w:val="20"/>
              </w:rPr>
              <w:lastRenderedPageBreak/>
              <w:t>Ensuring parental engagement remains high during era of ‘online meetings’</w:t>
            </w:r>
          </w:p>
        </w:tc>
        <w:tc>
          <w:tcPr>
            <w:tcW w:w="7274" w:type="dxa"/>
            <w:vMerge/>
            <w:shd w:val="clear" w:color="auto" w:fill="F2F2F2" w:themeFill="background1" w:themeFillShade="F2"/>
          </w:tcPr>
          <w:p w14:paraId="1F71579E" w14:textId="77777777" w:rsidR="00E64184" w:rsidRPr="00DC6DCF" w:rsidRDefault="00E64184" w:rsidP="00E64184">
            <w:pPr>
              <w:rPr>
                <w:sz w:val="20"/>
                <w:szCs w:val="20"/>
              </w:rPr>
            </w:pPr>
          </w:p>
        </w:tc>
        <w:tc>
          <w:tcPr>
            <w:tcW w:w="1244" w:type="dxa"/>
            <w:shd w:val="clear" w:color="auto" w:fill="F2F2F2" w:themeFill="background1" w:themeFillShade="F2"/>
          </w:tcPr>
          <w:p w14:paraId="5A3B0F5B" w14:textId="77777777" w:rsidR="00E64184" w:rsidRPr="00DC6DCF" w:rsidRDefault="00E64184" w:rsidP="00E64184">
            <w:pPr>
              <w:rPr>
                <w:sz w:val="20"/>
                <w:szCs w:val="20"/>
              </w:rPr>
            </w:pPr>
          </w:p>
        </w:tc>
      </w:tr>
      <w:tr w:rsidR="00E64184" w14:paraId="60E18FBC" w14:textId="77777777" w:rsidTr="0097747F">
        <w:trPr>
          <w:trHeight w:val="1259"/>
        </w:trPr>
        <w:tc>
          <w:tcPr>
            <w:tcW w:w="1950" w:type="dxa"/>
            <w:shd w:val="clear" w:color="auto" w:fill="F2F2F2" w:themeFill="background1" w:themeFillShade="F2"/>
          </w:tcPr>
          <w:p w14:paraId="05BC3B53" w14:textId="77777777" w:rsidR="00E64184" w:rsidRPr="00DC6DCF" w:rsidRDefault="00E64184" w:rsidP="00E64184">
            <w:pPr>
              <w:rPr>
                <w:sz w:val="20"/>
                <w:szCs w:val="20"/>
              </w:rPr>
            </w:pPr>
            <w:r w:rsidRPr="00DC6DCF">
              <w:rPr>
                <w:sz w:val="20"/>
                <w:szCs w:val="20"/>
              </w:rPr>
              <w:t>Ensuring there is adequate provision for devices should pupils need to learn from home.</w:t>
            </w:r>
          </w:p>
        </w:tc>
        <w:tc>
          <w:tcPr>
            <w:tcW w:w="7274" w:type="dxa"/>
            <w:shd w:val="clear" w:color="auto" w:fill="F2F2F2" w:themeFill="background1" w:themeFillShade="F2"/>
          </w:tcPr>
          <w:p w14:paraId="213C9BB2" w14:textId="77777777" w:rsidR="00E64184" w:rsidRPr="00DC6DCF" w:rsidRDefault="00E64184" w:rsidP="00E64184">
            <w:pPr>
              <w:rPr>
                <w:sz w:val="20"/>
                <w:szCs w:val="20"/>
              </w:rPr>
            </w:pPr>
            <w:r w:rsidRPr="00DC6DCF">
              <w:rPr>
                <w:sz w:val="20"/>
                <w:szCs w:val="20"/>
              </w:rPr>
              <w:t>Parents surveyed to identify need for devices.</w:t>
            </w:r>
          </w:p>
          <w:p w14:paraId="2D2DCC83" w14:textId="77777777" w:rsidR="00E64184" w:rsidRPr="00DC6DCF" w:rsidRDefault="00E64184" w:rsidP="00E64184">
            <w:pPr>
              <w:rPr>
                <w:sz w:val="20"/>
                <w:szCs w:val="20"/>
              </w:rPr>
            </w:pPr>
            <w:r w:rsidRPr="00DC6DCF">
              <w:rPr>
                <w:sz w:val="20"/>
                <w:szCs w:val="20"/>
              </w:rPr>
              <w:t xml:space="preserve">School laptops have been converted to ensure they will work away from the school network in family homes. </w:t>
            </w:r>
          </w:p>
          <w:p w14:paraId="510B970E" w14:textId="77777777" w:rsidR="00E64184" w:rsidRPr="00DC6DCF" w:rsidRDefault="00E64184" w:rsidP="00E64184">
            <w:pPr>
              <w:rPr>
                <w:sz w:val="20"/>
                <w:szCs w:val="20"/>
              </w:rPr>
            </w:pPr>
            <w:r w:rsidRPr="00DC6DCF">
              <w:rPr>
                <w:sz w:val="20"/>
                <w:szCs w:val="20"/>
              </w:rPr>
              <w:t>Loan agreement drawn up.</w:t>
            </w:r>
          </w:p>
          <w:p w14:paraId="44AEC948" w14:textId="77777777" w:rsidR="00E64184" w:rsidRPr="00DC6DCF" w:rsidRDefault="00E64184" w:rsidP="00E64184">
            <w:pPr>
              <w:rPr>
                <w:sz w:val="20"/>
                <w:szCs w:val="20"/>
              </w:rPr>
            </w:pPr>
            <w:r w:rsidRPr="00DC6DCF">
              <w:rPr>
                <w:sz w:val="20"/>
                <w:szCs w:val="20"/>
              </w:rPr>
              <w:t xml:space="preserve">Laptop bags purchased. </w:t>
            </w:r>
          </w:p>
        </w:tc>
        <w:tc>
          <w:tcPr>
            <w:tcW w:w="1244" w:type="dxa"/>
            <w:shd w:val="clear" w:color="auto" w:fill="F2F2F2" w:themeFill="background1" w:themeFillShade="F2"/>
          </w:tcPr>
          <w:p w14:paraId="006C96CB" w14:textId="77777777" w:rsidR="00E64184" w:rsidRPr="00DC6DCF" w:rsidRDefault="00E64184" w:rsidP="00E64184">
            <w:pPr>
              <w:rPr>
                <w:sz w:val="20"/>
                <w:szCs w:val="20"/>
              </w:rPr>
            </w:pPr>
            <w:r w:rsidRPr="00DC6DCF">
              <w:rPr>
                <w:sz w:val="20"/>
                <w:szCs w:val="20"/>
              </w:rPr>
              <w:t>School</w:t>
            </w:r>
          </w:p>
        </w:tc>
      </w:tr>
      <w:tr w:rsidR="00E64184" w14:paraId="77C04E77" w14:textId="77777777" w:rsidTr="0097747F">
        <w:trPr>
          <w:trHeight w:val="1121"/>
        </w:trPr>
        <w:tc>
          <w:tcPr>
            <w:tcW w:w="1950" w:type="dxa"/>
            <w:shd w:val="clear" w:color="auto" w:fill="F2F2F2" w:themeFill="background1" w:themeFillShade="F2"/>
          </w:tcPr>
          <w:p w14:paraId="4853FCA9" w14:textId="77777777" w:rsidR="00E64184" w:rsidRPr="00DC6DCF" w:rsidRDefault="00E64184" w:rsidP="00E64184">
            <w:pPr>
              <w:rPr>
                <w:sz w:val="20"/>
                <w:szCs w:val="20"/>
              </w:rPr>
            </w:pPr>
            <w:r w:rsidRPr="00DC6DCF">
              <w:rPr>
                <w:sz w:val="20"/>
                <w:szCs w:val="20"/>
              </w:rPr>
              <w:t xml:space="preserve">Ensuring a high-quality remote learning provision. </w:t>
            </w:r>
          </w:p>
        </w:tc>
        <w:tc>
          <w:tcPr>
            <w:tcW w:w="7274" w:type="dxa"/>
            <w:shd w:val="clear" w:color="auto" w:fill="F2F2F2" w:themeFill="background1" w:themeFillShade="F2"/>
          </w:tcPr>
          <w:p w14:paraId="5910AAC5" w14:textId="77777777" w:rsidR="00E64184" w:rsidRPr="00DC6DCF" w:rsidRDefault="00E64184" w:rsidP="00E64184">
            <w:pPr>
              <w:rPr>
                <w:sz w:val="20"/>
                <w:szCs w:val="20"/>
              </w:rPr>
            </w:pPr>
            <w:r w:rsidRPr="00DC6DCF">
              <w:rPr>
                <w:sz w:val="20"/>
                <w:szCs w:val="20"/>
              </w:rPr>
              <w:t>Government grant used to set up Teams for the whole school.</w:t>
            </w:r>
          </w:p>
          <w:p w14:paraId="6F743D6D" w14:textId="77777777" w:rsidR="00E64184" w:rsidRPr="00DC6DCF" w:rsidRDefault="00E64184" w:rsidP="00E64184">
            <w:pPr>
              <w:rPr>
                <w:sz w:val="20"/>
                <w:szCs w:val="20"/>
              </w:rPr>
            </w:pPr>
            <w:r w:rsidRPr="00DC6DCF">
              <w:rPr>
                <w:sz w:val="20"/>
                <w:szCs w:val="20"/>
              </w:rPr>
              <w:t xml:space="preserve">Comprehensive staff training given to teachers and TAs over several training sessions. </w:t>
            </w:r>
          </w:p>
          <w:p w14:paraId="59657416" w14:textId="77777777" w:rsidR="00E64184" w:rsidRPr="00DC6DCF" w:rsidRDefault="00E64184" w:rsidP="00E64184">
            <w:pPr>
              <w:rPr>
                <w:sz w:val="20"/>
                <w:szCs w:val="20"/>
              </w:rPr>
            </w:pPr>
            <w:r w:rsidRPr="00DC6DCF">
              <w:rPr>
                <w:sz w:val="20"/>
                <w:szCs w:val="20"/>
              </w:rPr>
              <w:t>Equivalent provision now in place for isolating pupils.</w:t>
            </w:r>
          </w:p>
        </w:tc>
        <w:tc>
          <w:tcPr>
            <w:tcW w:w="1244" w:type="dxa"/>
            <w:shd w:val="clear" w:color="auto" w:fill="F2F2F2" w:themeFill="background1" w:themeFillShade="F2"/>
          </w:tcPr>
          <w:p w14:paraId="242342A4" w14:textId="77777777" w:rsidR="00E64184" w:rsidRPr="00DC6DCF" w:rsidRDefault="00E64184" w:rsidP="00E64184">
            <w:pPr>
              <w:rPr>
                <w:sz w:val="20"/>
                <w:szCs w:val="20"/>
              </w:rPr>
            </w:pPr>
            <w:r w:rsidRPr="00DC6DCF">
              <w:rPr>
                <w:sz w:val="20"/>
                <w:szCs w:val="20"/>
              </w:rPr>
              <w:t>Government</w:t>
            </w:r>
          </w:p>
        </w:tc>
      </w:tr>
      <w:tr w:rsidR="00E64184" w14:paraId="1CE0D581" w14:textId="77777777" w:rsidTr="0097747F">
        <w:trPr>
          <w:trHeight w:val="1131"/>
        </w:trPr>
        <w:tc>
          <w:tcPr>
            <w:tcW w:w="1950" w:type="dxa"/>
            <w:shd w:val="clear" w:color="auto" w:fill="F2F2F2" w:themeFill="background1" w:themeFillShade="F2"/>
          </w:tcPr>
          <w:p w14:paraId="278F109C" w14:textId="77777777" w:rsidR="00E64184" w:rsidRPr="00DC6DCF" w:rsidRDefault="00E64184" w:rsidP="00E64184">
            <w:pPr>
              <w:rPr>
                <w:sz w:val="20"/>
                <w:szCs w:val="20"/>
              </w:rPr>
            </w:pPr>
            <w:r w:rsidRPr="00DC6DCF">
              <w:rPr>
                <w:sz w:val="20"/>
                <w:szCs w:val="20"/>
              </w:rPr>
              <w:t>Wellbeing: Concerns around anxiety and safeguarding issues following the lockdown period</w:t>
            </w:r>
          </w:p>
        </w:tc>
        <w:tc>
          <w:tcPr>
            <w:tcW w:w="7274" w:type="dxa"/>
            <w:shd w:val="clear" w:color="auto" w:fill="F2F2F2" w:themeFill="background1" w:themeFillShade="F2"/>
          </w:tcPr>
          <w:p w14:paraId="367D015F" w14:textId="77777777" w:rsidR="00E64184" w:rsidRPr="00DC6DCF" w:rsidRDefault="00E64184" w:rsidP="00E64184">
            <w:pPr>
              <w:rPr>
                <w:sz w:val="20"/>
                <w:szCs w:val="20"/>
              </w:rPr>
            </w:pPr>
            <w:r w:rsidRPr="00DC6DCF">
              <w:rPr>
                <w:sz w:val="20"/>
                <w:szCs w:val="20"/>
              </w:rPr>
              <w:t>School counsellor employed for 1 day a week to address post lockdown issues for vulnerable children.</w:t>
            </w:r>
          </w:p>
          <w:p w14:paraId="74AA6509" w14:textId="77777777" w:rsidR="00E64184" w:rsidRPr="00DC6DCF" w:rsidRDefault="00E64184" w:rsidP="00E64184">
            <w:pPr>
              <w:rPr>
                <w:sz w:val="20"/>
                <w:szCs w:val="20"/>
              </w:rPr>
            </w:pPr>
          </w:p>
          <w:p w14:paraId="47F30E11" w14:textId="77777777" w:rsidR="00E64184" w:rsidRPr="00DC6DCF" w:rsidRDefault="00E64184" w:rsidP="00E64184">
            <w:pPr>
              <w:rPr>
                <w:sz w:val="20"/>
                <w:szCs w:val="20"/>
              </w:rPr>
            </w:pPr>
            <w:r w:rsidRPr="00DC6DCF">
              <w:rPr>
                <w:sz w:val="20"/>
                <w:szCs w:val="20"/>
              </w:rPr>
              <w:t xml:space="preserve">Family liaison worker supporting children pastorally in school. </w:t>
            </w:r>
          </w:p>
        </w:tc>
        <w:tc>
          <w:tcPr>
            <w:tcW w:w="1244" w:type="dxa"/>
            <w:shd w:val="clear" w:color="auto" w:fill="F2F2F2" w:themeFill="background1" w:themeFillShade="F2"/>
          </w:tcPr>
          <w:p w14:paraId="526F8F7F" w14:textId="77777777" w:rsidR="00E64184" w:rsidRPr="00DC6DCF" w:rsidRDefault="00E64184" w:rsidP="00E64184">
            <w:pPr>
              <w:rPr>
                <w:sz w:val="20"/>
                <w:szCs w:val="20"/>
              </w:rPr>
            </w:pPr>
            <w:r w:rsidRPr="00DC6DCF">
              <w:rPr>
                <w:sz w:val="20"/>
                <w:szCs w:val="20"/>
              </w:rPr>
              <w:t>PP funding</w:t>
            </w:r>
          </w:p>
        </w:tc>
      </w:tr>
    </w:tbl>
    <w:p w14:paraId="786B6B95" w14:textId="77777777" w:rsidR="00497B1D" w:rsidRDefault="00497B1D"/>
    <w:sectPr w:rsidR="00497B1D" w:rsidSect="00E2096F">
      <w:headerReference w:type="default" r:id="rId3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3323" w16cex:dateUtc="2021-02-09T16:13:00Z"/>
  <w16cex:commentExtensible w16cex:durableId="23CD348D" w16cex:dateUtc="2021-02-09T16:19:00Z"/>
  <w16cex:commentExtensible w16cex:durableId="23CD34AD" w16cex:dateUtc="2021-02-09T16:19:00Z"/>
  <w16cex:commentExtensible w16cex:durableId="23CD350B" w16cex:dateUtc="2021-02-09T1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411B" w14:textId="77777777" w:rsidR="008A266B" w:rsidRDefault="008A266B" w:rsidP="00DC6DCF">
      <w:pPr>
        <w:spacing w:after="0" w:line="240" w:lineRule="auto"/>
      </w:pPr>
      <w:r>
        <w:separator/>
      </w:r>
    </w:p>
  </w:endnote>
  <w:endnote w:type="continuationSeparator" w:id="0">
    <w:p w14:paraId="53639C24" w14:textId="77777777" w:rsidR="008A266B" w:rsidRDefault="008A266B" w:rsidP="00DC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B16C" w14:textId="77777777" w:rsidR="008A266B" w:rsidRDefault="008A266B" w:rsidP="00DC6DCF">
      <w:pPr>
        <w:spacing w:after="0" w:line="240" w:lineRule="auto"/>
      </w:pPr>
      <w:r>
        <w:separator/>
      </w:r>
    </w:p>
  </w:footnote>
  <w:footnote w:type="continuationSeparator" w:id="0">
    <w:p w14:paraId="268B27BE" w14:textId="77777777" w:rsidR="008A266B" w:rsidRDefault="008A266B" w:rsidP="00DC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626B" w14:textId="77777777" w:rsidR="00DC6DCF" w:rsidRDefault="00DC6DCF" w:rsidP="00DC6DCF">
    <w:pPr>
      <w:pStyle w:val="Header"/>
      <w:jc w:val="center"/>
    </w:pPr>
    <w:r>
      <w:rPr>
        <w:noProof/>
      </w:rPr>
      <w:drawing>
        <wp:inline distT="0" distB="0" distL="0" distR="0" wp14:anchorId="5D3FEB73" wp14:editId="783886AC">
          <wp:extent cx="318250" cy="32297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png"/>
                  <pic:cNvPicPr/>
                </pic:nvPicPr>
                <pic:blipFill>
                  <a:blip r:embed="rId1">
                    <a:extLst>
                      <a:ext uri="{28A0092B-C50C-407E-A947-70E740481C1C}">
                        <a14:useLocalDpi xmlns:a14="http://schemas.microsoft.com/office/drawing/2010/main" val="0"/>
                      </a:ext>
                    </a:extLst>
                  </a:blip>
                  <a:stretch>
                    <a:fillRect/>
                  </a:stretch>
                </pic:blipFill>
                <pic:spPr>
                  <a:xfrm>
                    <a:off x="0" y="0"/>
                    <a:ext cx="323969" cy="328780"/>
                  </a:xfrm>
                  <a:prstGeom prst="rect">
                    <a:avLst/>
                  </a:prstGeom>
                </pic:spPr>
              </pic:pic>
            </a:graphicData>
          </a:graphic>
        </wp:inline>
      </w:drawing>
    </w:r>
  </w:p>
  <w:p w14:paraId="0A5B82B5" w14:textId="77777777" w:rsidR="00DC6DCF" w:rsidRDefault="00DC6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D95"/>
    <w:multiLevelType w:val="hybridMultilevel"/>
    <w:tmpl w:val="5F5E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7B89"/>
    <w:multiLevelType w:val="hybridMultilevel"/>
    <w:tmpl w:val="4024F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10365"/>
    <w:multiLevelType w:val="hybridMultilevel"/>
    <w:tmpl w:val="C6DA532E"/>
    <w:lvl w:ilvl="0" w:tplc="7BB42DC8">
      <w:start w:val="1"/>
      <w:numFmt w:val="decimal"/>
      <w:lvlText w:val="%1"/>
      <w:lvlJc w:val="left"/>
      <w:pPr>
        <w:ind w:left="163"/>
      </w:pPr>
      <w:rPr>
        <w:rFonts w:ascii="Calibri" w:eastAsia="Calibri" w:hAnsi="Calibri" w:cs="Calibri"/>
        <w:b/>
        <w:bCs/>
        <w:i w:val="0"/>
        <w:strike w:val="0"/>
        <w:dstrike w:val="0"/>
        <w:color w:val="002060"/>
        <w:sz w:val="22"/>
        <w:szCs w:val="22"/>
        <w:u w:val="none" w:color="000000"/>
        <w:bdr w:val="none" w:sz="0" w:space="0" w:color="auto"/>
        <w:shd w:val="clear" w:color="auto" w:fill="auto"/>
        <w:vertAlign w:val="baseline"/>
      </w:rPr>
    </w:lvl>
    <w:lvl w:ilvl="1" w:tplc="DA84AC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20B24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41A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4931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4C4BE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BEDC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24E4C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45BA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E11A2"/>
    <w:multiLevelType w:val="hybridMultilevel"/>
    <w:tmpl w:val="2B2C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7561"/>
    <w:multiLevelType w:val="hybridMultilevel"/>
    <w:tmpl w:val="B01CAAA6"/>
    <w:lvl w:ilvl="0" w:tplc="36606556">
      <w:start w:val="1"/>
      <w:numFmt w:val="decimal"/>
      <w:lvlText w:val="%1."/>
      <w:lvlJc w:val="left"/>
      <w:pPr>
        <w:ind w:left="72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1" w:tplc="112C31CE">
      <w:start w:val="1"/>
      <w:numFmt w:val="lowerLetter"/>
      <w:lvlText w:val="%2"/>
      <w:lvlJc w:val="left"/>
      <w:pPr>
        <w:ind w:left="144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2" w:tplc="25B4D782">
      <w:start w:val="1"/>
      <w:numFmt w:val="lowerRoman"/>
      <w:lvlText w:val="%3"/>
      <w:lvlJc w:val="left"/>
      <w:pPr>
        <w:ind w:left="216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3" w:tplc="29AE459E">
      <w:start w:val="1"/>
      <w:numFmt w:val="decimal"/>
      <w:lvlText w:val="%4"/>
      <w:lvlJc w:val="left"/>
      <w:pPr>
        <w:ind w:left="288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4" w:tplc="44B43CD4">
      <w:start w:val="1"/>
      <w:numFmt w:val="lowerLetter"/>
      <w:lvlText w:val="%5"/>
      <w:lvlJc w:val="left"/>
      <w:pPr>
        <w:ind w:left="360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5" w:tplc="2020D010">
      <w:start w:val="1"/>
      <w:numFmt w:val="lowerRoman"/>
      <w:lvlText w:val="%6"/>
      <w:lvlJc w:val="left"/>
      <w:pPr>
        <w:ind w:left="432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6" w:tplc="ACDAC3A2">
      <w:start w:val="1"/>
      <w:numFmt w:val="decimal"/>
      <w:lvlText w:val="%7"/>
      <w:lvlJc w:val="left"/>
      <w:pPr>
        <w:ind w:left="504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7" w:tplc="CF627A66">
      <w:start w:val="1"/>
      <w:numFmt w:val="lowerLetter"/>
      <w:lvlText w:val="%8"/>
      <w:lvlJc w:val="left"/>
      <w:pPr>
        <w:ind w:left="576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lvl w:ilvl="8" w:tplc="34202440">
      <w:start w:val="1"/>
      <w:numFmt w:val="lowerRoman"/>
      <w:lvlText w:val="%9"/>
      <w:lvlJc w:val="left"/>
      <w:pPr>
        <w:ind w:left="6480"/>
      </w:pPr>
      <w:rPr>
        <w:rFonts w:ascii="Calibri" w:eastAsia="Calibri" w:hAnsi="Calibri" w:cs="Calibri"/>
        <w:b w:val="0"/>
        <w:i w:val="0"/>
        <w:strike w:val="0"/>
        <w:dstrike w:val="0"/>
        <w:color w:val="0B0C0C"/>
        <w:sz w:val="22"/>
        <w:szCs w:val="22"/>
        <w:u w:val="none" w:color="000000"/>
        <w:bdr w:val="none" w:sz="0" w:space="0" w:color="auto"/>
        <w:shd w:val="clear" w:color="auto" w:fill="auto"/>
        <w:vertAlign w:val="baseline"/>
      </w:rPr>
    </w:lvl>
  </w:abstractNum>
  <w:abstractNum w:abstractNumId="5" w15:restartNumberingAfterBreak="0">
    <w:nsid w:val="3256512C"/>
    <w:multiLevelType w:val="hybridMultilevel"/>
    <w:tmpl w:val="9F5E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539B0"/>
    <w:multiLevelType w:val="hybridMultilevel"/>
    <w:tmpl w:val="C0F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2695F"/>
    <w:multiLevelType w:val="hybridMultilevel"/>
    <w:tmpl w:val="6E6A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1F45A9"/>
    <w:multiLevelType w:val="hybridMultilevel"/>
    <w:tmpl w:val="36C6D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1D"/>
    <w:rsid w:val="00044F14"/>
    <w:rsid w:val="00143619"/>
    <w:rsid w:val="001B7C5D"/>
    <w:rsid w:val="001D4526"/>
    <w:rsid w:val="00374CAA"/>
    <w:rsid w:val="003E07E5"/>
    <w:rsid w:val="00497B1D"/>
    <w:rsid w:val="00580C4E"/>
    <w:rsid w:val="005D4732"/>
    <w:rsid w:val="005D6767"/>
    <w:rsid w:val="00635E6B"/>
    <w:rsid w:val="00641316"/>
    <w:rsid w:val="006B5AF1"/>
    <w:rsid w:val="00710CBF"/>
    <w:rsid w:val="007373BC"/>
    <w:rsid w:val="00760290"/>
    <w:rsid w:val="007C6CD3"/>
    <w:rsid w:val="008012B1"/>
    <w:rsid w:val="008240AE"/>
    <w:rsid w:val="00851152"/>
    <w:rsid w:val="008A266B"/>
    <w:rsid w:val="0097747F"/>
    <w:rsid w:val="009C253C"/>
    <w:rsid w:val="00A771CF"/>
    <w:rsid w:val="00AD1457"/>
    <w:rsid w:val="00C0302A"/>
    <w:rsid w:val="00C93CEC"/>
    <w:rsid w:val="00D571D2"/>
    <w:rsid w:val="00DC6DCF"/>
    <w:rsid w:val="00E2096F"/>
    <w:rsid w:val="00E300D2"/>
    <w:rsid w:val="00E64184"/>
    <w:rsid w:val="00EE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C72A7"/>
  <w15:chartTrackingRefBased/>
  <w15:docId w15:val="{C743C9D8-BCE1-4E86-9659-33EFBFCA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1D"/>
    <w:pPr>
      <w:ind w:left="720"/>
      <w:contextualSpacing/>
    </w:pPr>
  </w:style>
  <w:style w:type="table" w:styleId="TableGrid">
    <w:name w:val="Table Grid"/>
    <w:basedOn w:val="TableNormal"/>
    <w:uiPriority w:val="39"/>
    <w:rsid w:val="004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096F"/>
    <w:pPr>
      <w:spacing w:after="0" w:line="240" w:lineRule="auto"/>
    </w:pPr>
  </w:style>
  <w:style w:type="paragraph" w:styleId="Header">
    <w:name w:val="header"/>
    <w:basedOn w:val="Normal"/>
    <w:link w:val="HeaderChar"/>
    <w:uiPriority w:val="99"/>
    <w:unhideWhenUsed/>
    <w:rsid w:val="00DC6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DCF"/>
  </w:style>
  <w:style w:type="paragraph" w:styleId="Footer">
    <w:name w:val="footer"/>
    <w:basedOn w:val="Normal"/>
    <w:link w:val="FooterChar"/>
    <w:uiPriority w:val="99"/>
    <w:unhideWhenUsed/>
    <w:rsid w:val="00DC6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DCF"/>
  </w:style>
  <w:style w:type="character" w:styleId="CommentReference">
    <w:name w:val="annotation reference"/>
    <w:basedOn w:val="DefaultParagraphFont"/>
    <w:uiPriority w:val="99"/>
    <w:semiHidden/>
    <w:unhideWhenUsed/>
    <w:rsid w:val="003E07E5"/>
    <w:rPr>
      <w:sz w:val="16"/>
      <w:szCs w:val="16"/>
    </w:rPr>
  </w:style>
  <w:style w:type="paragraph" w:styleId="CommentText">
    <w:name w:val="annotation text"/>
    <w:basedOn w:val="Normal"/>
    <w:link w:val="CommentTextChar"/>
    <w:uiPriority w:val="99"/>
    <w:semiHidden/>
    <w:unhideWhenUsed/>
    <w:rsid w:val="003E07E5"/>
    <w:pPr>
      <w:spacing w:line="240" w:lineRule="auto"/>
    </w:pPr>
    <w:rPr>
      <w:sz w:val="20"/>
      <w:szCs w:val="20"/>
    </w:rPr>
  </w:style>
  <w:style w:type="character" w:customStyle="1" w:styleId="CommentTextChar">
    <w:name w:val="Comment Text Char"/>
    <w:basedOn w:val="DefaultParagraphFont"/>
    <w:link w:val="CommentText"/>
    <w:uiPriority w:val="99"/>
    <w:semiHidden/>
    <w:rsid w:val="003E07E5"/>
    <w:rPr>
      <w:sz w:val="20"/>
      <w:szCs w:val="20"/>
    </w:rPr>
  </w:style>
  <w:style w:type="paragraph" w:styleId="CommentSubject">
    <w:name w:val="annotation subject"/>
    <w:basedOn w:val="CommentText"/>
    <w:next w:val="CommentText"/>
    <w:link w:val="CommentSubjectChar"/>
    <w:uiPriority w:val="99"/>
    <w:semiHidden/>
    <w:unhideWhenUsed/>
    <w:rsid w:val="003E07E5"/>
    <w:rPr>
      <w:b/>
      <w:bCs/>
    </w:rPr>
  </w:style>
  <w:style w:type="character" w:customStyle="1" w:styleId="CommentSubjectChar">
    <w:name w:val="Comment Subject Char"/>
    <w:basedOn w:val="CommentTextChar"/>
    <w:link w:val="CommentSubject"/>
    <w:uiPriority w:val="99"/>
    <w:semiHidden/>
    <w:rsid w:val="003E07E5"/>
    <w:rPr>
      <w:b/>
      <w:bCs/>
      <w:sz w:val="20"/>
      <w:szCs w:val="20"/>
    </w:rPr>
  </w:style>
  <w:style w:type="paragraph" w:styleId="BalloonText">
    <w:name w:val="Balloon Text"/>
    <w:basedOn w:val="Normal"/>
    <w:link w:val="BalloonTextChar"/>
    <w:uiPriority w:val="99"/>
    <w:semiHidden/>
    <w:unhideWhenUsed/>
    <w:rsid w:val="0085115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115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covid-19-resources/covid-19-support-guide-for-schools/" TargetMode="External"/><Relationship Id="rId18" Type="http://schemas.openxmlformats.org/officeDocument/2006/relationships/hyperlink" Target="https://educationendowmentfoundation.org.uk/covid-19-resources/covid-19-support-guide-for-schools/" TargetMode="External"/><Relationship Id="rId26" Type="http://schemas.openxmlformats.org/officeDocument/2006/relationships/hyperlink" Target="https://educationendowmentfoundation.org.uk/covid-19-resources/national-tutoring-programme/" TargetMode="External"/><Relationship Id="rId3" Type="http://schemas.openxmlformats.org/officeDocument/2006/relationships/settings" Target="settings.xml"/><Relationship Id="rId21" Type="http://schemas.openxmlformats.org/officeDocument/2006/relationships/hyperlink" Target="https://educationendowmentfoundation.org.uk/covid-19-resources/covid-19-support-guide-for-schools/" TargetMode="External"/><Relationship Id="rId7" Type="http://schemas.openxmlformats.org/officeDocument/2006/relationships/hyperlink" Target="https://educationendowmentfoundation.org.uk/covid-19-resources/covid-19-support-guide-for-schools/" TargetMode="Externa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hyperlink" Target="https://educationendowmentfoundation.org.uk/covid-19-resources/covid-19-support-guide-for-schools/" TargetMode="External"/><Relationship Id="rId25" Type="http://schemas.openxmlformats.org/officeDocument/2006/relationships/hyperlink" Target="https://educationendowmentfoundation.org.uk/covid-19-resources/national-tutoring-programme/" TargetMode="Externa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yperlink" Target="https://educationendowmentfoundation.org.uk/covid-19-resources/covid-19-support-guide-for-schools/" TargetMode="External"/><Relationship Id="rId20" Type="http://schemas.openxmlformats.org/officeDocument/2006/relationships/hyperlink" Target="https://educationendowmentfoundation.org.uk/covid-19-resources/covid-19-support-guide-for-schools/" TargetMode="External"/><Relationship Id="rId29" Type="http://schemas.openxmlformats.org/officeDocument/2006/relationships/hyperlink" Target="https://educationendowmentfoundation.org.uk/covid-19-resources/national-tutoring-program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covid-19-resources/covid-19-support-guide-for-schools/" TargetMode="External"/><Relationship Id="rId24" Type="http://schemas.openxmlformats.org/officeDocument/2006/relationships/hyperlink" Target="https://educationendowmentfoundation.org.uk/covid-19-resources/national-tutoring-program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covid-19-resources/covid-19-support-guide-for-schools/" TargetMode="External"/><Relationship Id="rId23" Type="http://schemas.openxmlformats.org/officeDocument/2006/relationships/hyperlink" Target="https://educationendowmentfoundation.org.uk/covid-19-resources/national-tutoring-programme/" TargetMode="External"/><Relationship Id="rId28" Type="http://schemas.openxmlformats.org/officeDocument/2006/relationships/hyperlink" Target="https://educationendowmentfoundation.org.uk/covid-19-resources/national-tutoring-programme/" TargetMode="External"/><Relationship Id="rId10" Type="http://schemas.openxmlformats.org/officeDocument/2006/relationships/hyperlink" Target="https://educationendowmentfoundation.org.uk/covid-19-resources/covid-19-support-guide-for-schools/" TargetMode="External"/><Relationship Id="rId19" Type="http://schemas.openxmlformats.org/officeDocument/2006/relationships/hyperlink" Target="https://educationendowmentfoundation.org.uk/covid-19-resources/covid-19-support-guide-for-schoo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covid-19-resources/covid-19-support-guide-for-schools/" TargetMode="External"/><Relationship Id="rId14" Type="http://schemas.openxmlformats.org/officeDocument/2006/relationships/hyperlink" Target="https://educationendowmentfoundation.org.uk/covid-19-resources/covid-19-support-guide-for-schools/" TargetMode="External"/><Relationship Id="rId22" Type="http://schemas.openxmlformats.org/officeDocument/2006/relationships/hyperlink" Target="https://educationendowmentfoundation.org.uk/covid-19-resources/national-tutoring-programme/" TargetMode="External"/><Relationship Id="rId27" Type="http://schemas.openxmlformats.org/officeDocument/2006/relationships/hyperlink" Target="https://educationendowmentfoundation.org.uk/covid-19-resources/national-tutoring-programme/" TargetMode="External"/><Relationship Id="rId30" Type="http://schemas.openxmlformats.org/officeDocument/2006/relationships/header" Target="header1.xml"/><Relationship Id="rId8" Type="http://schemas.openxmlformats.org/officeDocument/2006/relationships/hyperlink" Target="https://educationendowmentfoundation.org.uk/covid-19-resources/covid-19-support-guid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Cameron</dc:creator>
  <cp:keywords/>
  <dc:description/>
  <cp:lastModifiedBy>Emma Cameron</cp:lastModifiedBy>
  <cp:revision>2</cp:revision>
  <dcterms:created xsi:type="dcterms:W3CDTF">2021-02-11T10:03:00Z</dcterms:created>
  <dcterms:modified xsi:type="dcterms:W3CDTF">2021-02-11T10:03:00Z</dcterms:modified>
</cp:coreProperties>
</file>